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83CFC" w14:textId="77777777" w:rsidR="009E5211" w:rsidRDefault="00941A5E" w:rsidP="005464E8">
      <w:pPr>
        <w:outlineLvl w:val="0"/>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Crucial Fault Lines in the Middle East: Inter-State </w:t>
      </w:r>
      <w:r w:rsidR="006B3E06" w:rsidRPr="006B3E06">
        <w:rPr>
          <w:rFonts w:ascii="Times New Roman" w:hAnsi="Times New Roman" w:cs="Times New Roman"/>
          <w:b/>
          <w:sz w:val="24"/>
          <w:szCs w:val="24"/>
        </w:rPr>
        <w:t>Rivalries in Comparative Perspective</w:t>
      </w:r>
    </w:p>
    <w:p w14:paraId="2BC88A35" w14:textId="77777777" w:rsidR="006B3E06" w:rsidRPr="007A5EE8" w:rsidRDefault="006B3E06" w:rsidP="005464E8">
      <w:pPr>
        <w:pStyle w:val="NoSpacing"/>
        <w:jc w:val="center"/>
        <w:outlineLvl w:val="0"/>
        <w:rPr>
          <w:rFonts w:ascii="Times New Roman" w:hAnsi="Times New Roman" w:cs="Times New Roman"/>
          <w:sz w:val="24"/>
          <w:szCs w:val="24"/>
        </w:rPr>
      </w:pPr>
      <w:r w:rsidRPr="007A5EE8">
        <w:rPr>
          <w:rFonts w:ascii="Times New Roman" w:hAnsi="Times New Roman" w:cs="Times New Roman"/>
          <w:sz w:val="24"/>
          <w:szCs w:val="24"/>
        </w:rPr>
        <w:t>Thomas J. Volgy</w:t>
      </w:r>
    </w:p>
    <w:p w14:paraId="476AD411" w14:textId="08F02676" w:rsidR="006B3E06" w:rsidRPr="007A5EE8" w:rsidRDefault="006B3E06" w:rsidP="006B3E06">
      <w:pPr>
        <w:pStyle w:val="NoSpacing"/>
        <w:jc w:val="center"/>
        <w:rPr>
          <w:rFonts w:ascii="Times New Roman" w:hAnsi="Times New Roman" w:cs="Times New Roman"/>
          <w:sz w:val="24"/>
          <w:szCs w:val="24"/>
        </w:rPr>
      </w:pPr>
      <w:r w:rsidRPr="007A5EE8">
        <w:rPr>
          <w:rFonts w:ascii="Times New Roman" w:hAnsi="Times New Roman" w:cs="Times New Roman"/>
          <w:sz w:val="24"/>
          <w:szCs w:val="24"/>
        </w:rPr>
        <w:t xml:space="preserve">Kelly </w:t>
      </w:r>
      <w:r w:rsidR="00AE5A08">
        <w:rPr>
          <w:rFonts w:ascii="Times New Roman" w:hAnsi="Times New Roman" w:cs="Times New Roman"/>
          <w:sz w:val="24"/>
          <w:szCs w:val="24"/>
        </w:rPr>
        <w:t>M</w:t>
      </w:r>
      <w:r w:rsidR="00A86788">
        <w:rPr>
          <w:rFonts w:ascii="Times New Roman" w:hAnsi="Times New Roman" w:cs="Times New Roman"/>
          <w:sz w:val="24"/>
          <w:szCs w:val="24"/>
        </w:rPr>
        <w:t>arie</w:t>
      </w:r>
      <w:r w:rsidR="00AE5A08">
        <w:rPr>
          <w:rFonts w:ascii="Times New Roman" w:hAnsi="Times New Roman" w:cs="Times New Roman"/>
          <w:sz w:val="24"/>
          <w:szCs w:val="24"/>
        </w:rPr>
        <w:t xml:space="preserve"> </w:t>
      </w:r>
      <w:r w:rsidRPr="007A5EE8">
        <w:rPr>
          <w:rFonts w:ascii="Times New Roman" w:hAnsi="Times New Roman" w:cs="Times New Roman"/>
          <w:sz w:val="24"/>
          <w:szCs w:val="24"/>
        </w:rPr>
        <w:t>Gordell</w:t>
      </w:r>
    </w:p>
    <w:p w14:paraId="68566E95" w14:textId="77777777" w:rsidR="006B3E06" w:rsidRPr="007A5EE8" w:rsidRDefault="006B3E06" w:rsidP="006B3E06">
      <w:pPr>
        <w:pStyle w:val="NoSpacing"/>
        <w:jc w:val="center"/>
        <w:rPr>
          <w:rFonts w:ascii="Times New Roman" w:hAnsi="Times New Roman" w:cs="Times New Roman"/>
          <w:sz w:val="24"/>
          <w:szCs w:val="24"/>
        </w:rPr>
      </w:pPr>
      <w:r w:rsidRPr="007A5EE8">
        <w:rPr>
          <w:rFonts w:ascii="Times New Roman" w:hAnsi="Times New Roman" w:cs="Times New Roman"/>
          <w:sz w:val="24"/>
          <w:szCs w:val="24"/>
        </w:rPr>
        <w:t>Paul Bezerra</w:t>
      </w:r>
    </w:p>
    <w:p w14:paraId="56DD453C" w14:textId="77777777" w:rsidR="006B3E06" w:rsidRDefault="006B3E06" w:rsidP="006B3E06">
      <w:pPr>
        <w:pStyle w:val="NoSpacing"/>
        <w:jc w:val="center"/>
      </w:pPr>
    </w:p>
    <w:p w14:paraId="01B5F959" w14:textId="77777777" w:rsidR="00277797" w:rsidRPr="00277797" w:rsidRDefault="00277797" w:rsidP="005464E8">
      <w:pPr>
        <w:pStyle w:val="NoSpacing"/>
        <w:spacing w:line="480" w:lineRule="auto"/>
        <w:outlineLvl w:val="0"/>
        <w:rPr>
          <w:rFonts w:ascii="Times New Roman" w:hAnsi="Times New Roman" w:cs="Times New Roman"/>
          <w:b/>
          <w:i/>
          <w:sz w:val="24"/>
          <w:szCs w:val="24"/>
        </w:rPr>
      </w:pPr>
      <w:r w:rsidRPr="00277797">
        <w:rPr>
          <w:rFonts w:ascii="Times New Roman" w:hAnsi="Times New Roman" w:cs="Times New Roman"/>
          <w:b/>
          <w:i/>
          <w:sz w:val="24"/>
          <w:szCs w:val="24"/>
        </w:rPr>
        <w:t>Introduction</w:t>
      </w:r>
    </w:p>
    <w:p w14:paraId="3D2B8A0C" w14:textId="000035AB" w:rsidR="006B3E06" w:rsidRDefault="006B3E06" w:rsidP="00277797">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Area specialists are advantaged in their studies by developing deep and thorough knowledge of the unique features of their region of interest. By the virtue of their </w:t>
      </w:r>
      <w:r w:rsidR="00EB4A26">
        <w:rPr>
          <w:rFonts w:ascii="Times New Roman" w:hAnsi="Times New Roman" w:cs="Times New Roman"/>
          <w:sz w:val="24"/>
          <w:szCs w:val="24"/>
        </w:rPr>
        <w:t xml:space="preserve">training, </w:t>
      </w:r>
      <w:r>
        <w:rPr>
          <w:rFonts w:ascii="Times New Roman" w:hAnsi="Times New Roman" w:cs="Times New Roman"/>
          <w:sz w:val="24"/>
          <w:szCs w:val="24"/>
        </w:rPr>
        <w:t>orientation</w:t>
      </w:r>
      <w:r w:rsidR="00941A5E">
        <w:rPr>
          <w:rFonts w:ascii="Times New Roman" w:hAnsi="Times New Roman" w:cs="Times New Roman"/>
          <w:sz w:val="24"/>
          <w:szCs w:val="24"/>
        </w:rPr>
        <w:t>,</w:t>
      </w:r>
      <w:r>
        <w:rPr>
          <w:rFonts w:ascii="Times New Roman" w:hAnsi="Times New Roman" w:cs="Times New Roman"/>
          <w:sz w:val="24"/>
          <w:szCs w:val="24"/>
        </w:rPr>
        <w:t xml:space="preserve"> and </w:t>
      </w:r>
      <w:r w:rsidR="00EB4A26">
        <w:rPr>
          <w:rFonts w:ascii="Times New Roman" w:hAnsi="Times New Roman" w:cs="Times New Roman"/>
          <w:sz w:val="24"/>
          <w:szCs w:val="24"/>
        </w:rPr>
        <w:t xml:space="preserve">the extent to which they create a deep familiarization with both the historical and current features of their region, </w:t>
      </w:r>
      <w:r w:rsidR="00ED030A">
        <w:rPr>
          <w:rFonts w:ascii="Times New Roman" w:hAnsi="Times New Roman" w:cs="Times New Roman"/>
          <w:sz w:val="24"/>
          <w:szCs w:val="24"/>
        </w:rPr>
        <w:t xml:space="preserve">area specialists </w:t>
      </w:r>
      <w:r w:rsidR="00EB4A26">
        <w:rPr>
          <w:rFonts w:ascii="Times New Roman" w:hAnsi="Times New Roman" w:cs="Times New Roman"/>
          <w:sz w:val="24"/>
          <w:szCs w:val="24"/>
        </w:rPr>
        <w:t xml:space="preserve">carry extensive knowledge of how such </w:t>
      </w:r>
      <w:r w:rsidR="00A86788">
        <w:rPr>
          <w:rFonts w:ascii="Times New Roman" w:hAnsi="Times New Roman" w:cs="Times New Roman"/>
          <w:sz w:val="24"/>
          <w:szCs w:val="24"/>
        </w:rPr>
        <w:t>political arenas</w:t>
      </w:r>
      <w:r w:rsidR="00EB4A26">
        <w:rPr>
          <w:rFonts w:ascii="Times New Roman" w:hAnsi="Times New Roman" w:cs="Times New Roman"/>
          <w:sz w:val="24"/>
          <w:szCs w:val="24"/>
        </w:rPr>
        <w:t xml:space="preserve"> operate. At the same time, through </w:t>
      </w:r>
      <w:r w:rsidR="00A16579">
        <w:rPr>
          <w:rFonts w:ascii="Times New Roman" w:hAnsi="Times New Roman" w:cs="Times New Roman"/>
          <w:sz w:val="24"/>
          <w:szCs w:val="24"/>
        </w:rPr>
        <w:t>their intense</w:t>
      </w:r>
      <w:r w:rsidR="00941A5E">
        <w:rPr>
          <w:rFonts w:ascii="Times New Roman" w:hAnsi="Times New Roman" w:cs="Times New Roman"/>
          <w:sz w:val="24"/>
          <w:szCs w:val="24"/>
        </w:rPr>
        <w:t xml:space="preserve"> </w:t>
      </w:r>
      <w:r w:rsidR="00EB4A26">
        <w:rPr>
          <w:rFonts w:ascii="Times New Roman" w:hAnsi="Times New Roman" w:cs="Times New Roman"/>
          <w:sz w:val="24"/>
          <w:szCs w:val="24"/>
        </w:rPr>
        <w:t xml:space="preserve">focus (and since it is virtually impossible to develop such in-depth expertise on all regions) </w:t>
      </w:r>
      <w:r w:rsidR="003F5E10">
        <w:rPr>
          <w:rFonts w:ascii="Times New Roman" w:hAnsi="Times New Roman" w:cs="Times New Roman"/>
          <w:sz w:val="24"/>
          <w:szCs w:val="24"/>
        </w:rPr>
        <w:t xml:space="preserve">area specialists </w:t>
      </w:r>
      <w:r w:rsidR="005D3266">
        <w:rPr>
          <w:rFonts w:ascii="Times New Roman" w:hAnsi="Times New Roman" w:cs="Times New Roman"/>
          <w:sz w:val="24"/>
          <w:szCs w:val="24"/>
        </w:rPr>
        <w:t xml:space="preserve">tend to </w:t>
      </w:r>
      <w:r w:rsidRPr="004A07D4">
        <w:rPr>
          <w:rFonts w:ascii="Times New Roman" w:hAnsi="Times New Roman" w:cs="Times New Roman"/>
          <w:sz w:val="24"/>
          <w:szCs w:val="24"/>
        </w:rPr>
        <w:t>emphasize</w:t>
      </w:r>
      <w:r w:rsidRPr="00CC223E">
        <w:rPr>
          <w:rFonts w:ascii="Times New Roman" w:hAnsi="Times New Roman" w:cs="Times New Roman"/>
          <w:i/>
          <w:sz w:val="24"/>
          <w:szCs w:val="24"/>
        </w:rPr>
        <w:t xml:space="preserve"> the uniqueness</w:t>
      </w:r>
      <w:r w:rsidRPr="006B3E06">
        <w:rPr>
          <w:rFonts w:ascii="Times New Roman" w:hAnsi="Times New Roman" w:cs="Times New Roman"/>
          <w:b/>
          <w:i/>
          <w:sz w:val="24"/>
          <w:szCs w:val="24"/>
        </w:rPr>
        <w:t xml:space="preserve"> </w:t>
      </w:r>
      <w:r w:rsidRPr="00EB4A26">
        <w:rPr>
          <w:rFonts w:ascii="Times New Roman" w:hAnsi="Times New Roman" w:cs="Times New Roman"/>
          <w:sz w:val="24"/>
          <w:szCs w:val="24"/>
        </w:rPr>
        <w:t xml:space="preserve">of </w:t>
      </w:r>
      <w:r w:rsidR="00EB4A26">
        <w:rPr>
          <w:rFonts w:ascii="Times New Roman" w:hAnsi="Times New Roman" w:cs="Times New Roman"/>
          <w:sz w:val="24"/>
          <w:szCs w:val="24"/>
        </w:rPr>
        <w:t>their</w:t>
      </w:r>
      <w:r w:rsidRPr="00EB4A26">
        <w:rPr>
          <w:rFonts w:ascii="Times New Roman" w:hAnsi="Times New Roman" w:cs="Times New Roman"/>
          <w:sz w:val="24"/>
          <w:szCs w:val="24"/>
        </w:rPr>
        <w:t xml:space="preserve"> </w:t>
      </w:r>
      <w:r w:rsidR="00AF5735">
        <w:rPr>
          <w:rFonts w:ascii="Times New Roman" w:hAnsi="Times New Roman" w:cs="Times New Roman"/>
          <w:sz w:val="24"/>
          <w:szCs w:val="24"/>
        </w:rPr>
        <w:t>focus</w:t>
      </w:r>
      <w:r w:rsidR="008634C6">
        <w:rPr>
          <w:rFonts w:ascii="Times New Roman" w:hAnsi="Times New Roman" w:cs="Times New Roman"/>
          <w:sz w:val="24"/>
          <w:szCs w:val="24"/>
        </w:rPr>
        <w:t xml:space="preserve"> </w:t>
      </w:r>
      <w:r w:rsidR="00941A5E">
        <w:rPr>
          <w:rFonts w:ascii="Times New Roman" w:hAnsi="Times New Roman" w:cs="Times New Roman"/>
          <w:sz w:val="24"/>
          <w:szCs w:val="24"/>
        </w:rPr>
        <w:t xml:space="preserve">of </w:t>
      </w:r>
      <w:r w:rsidR="008634C6">
        <w:rPr>
          <w:rFonts w:ascii="Times New Roman" w:hAnsi="Times New Roman" w:cs="Times New Roman"/>
          <w:sz w:val="24"/>
          <w:szCs w:val="24"/>
        </w:rPr>
        <w:t>expertise.</w:t>
      </w:r>
      <w:r w:rsidR="001415A3">
        <w:rPr>
          <w:rFonts w:ascii="Times New Roman" w:hAnsi="Times New Roman" w:cs="Times New Roman"/>
          <w:sz w:val="24"/>
          <w:szCs w:val="24"/>
        </w:rPr>
        <w:t xml:space="preserve"> </w:t>
      </w:r>
      <w:r w:rsidR="006936A8">
        <w:rPr>
          <w:rFonts w:ascii="Times New Roman" w:hAnsi="Times New Roman" w:cs="Times New Roman"/>
          <w:sz w:val="24"/>
          <w:szCs w:val="24"/>
        </w:rPr>
        <w:t xml:space="preserve">Too often Latin American, African, East Asian, European, or Middle East area specialists argue for the </w:t>
      </w:r>
      <w:r w:rsidR="00941A5E">
        <w:rPr>
          <w:rFonts w:ascii="Times New Roman" w:hAnsi="Times New Roman" w:cs="Times New Roman"/>
          <w:sz w:val="24"/>
          <w:szCs w:val="24"/>
        </w:rPr>
        <w:t>distinctive</w:t>
      </w:r>
      <w:r w:rsidR="006936A8">
        <w:rPr>
          <w:rFonts w:ascii="Times New Roman" w:hAnsi="Times New Roman" w:cs="Times New Roman"/>
          <w:sz w:val="24"/>
          <w:szCs w:val="24"/>
        </w:rPr>
        <w:t xml:space="preserve"> nature of their </w:t>
      </w:r>
      <w:r w:rsidR="005068C4">
        <w:rPr>
          <w:rFonts w:ascii="Times New Roman" w:hAnsi="Times New Roman" w:cs="Times New Roman"/>
          <w:sz w:val="24"/>
          <w:szCs w:val="24"/>
        </w:rPr>
        <w:t>geographical area.</w:t>
      </w:r>
      <w:r>
        <w:rPr>
          <w:rFonts w:ascii="Times New Roman" w:hAnsi="Times New Roman" w:cs="Times New Roman"/>
          <w:sz w:val="24"/>
          <w:szCs w:val="24"/>
        </w:rPr>
        <w:t xml:space="preserve"> </w:t>
      </w:r>
    </w:p>
    <w:p w14:paraId="4A5BC979" w14:textId="19F30E77" w:rsidR="001415A3" w:rsidRDefault="006B3E06" w:rsidP="006B3E0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By contrast, </w:t>
      </w:r>
      <w:r w:rsidR="004A07D4">
        <w:rPr>
          <w:rFonts w:ascii="Times New Roman" w:hAnsi="Times New Roman" w:cs="Times New Roman"/>
          <w:sz w:val="24"/>
          <w:szCs w:val="24"/>
        </w:rPr>
        <w:t>international relations</w:t>
      </w:r>
      <w:r>
        <w:rPr>
          <w:rFonts w:ascii="Times New Roman" w:hAnsi="Times New Roman" w:cs="Times New Roman"/>
          <w:sz w:val="24"/>
          <w:szCs w:val="24"/>
        </w:rPr>
        <w:t xml:space="preserve"> scholars, and particularly those who focus on </w:t>
      </w:r>
      <w:r w:rsidRPr="00CC223E">
        <w:rPr>
          <w:rFonts w:ascii="Times New Roman" w:hAnsi="Times New Roman" w:cs="Times New Roman"/>
          <w:sz w:val="24"/>
          <w:szCs w:val="24"/>
        </w:rPr>
        <w:t>comparative regional analysis</w:t>
      </w:r>
      <w:r w:rsidR="004A07D4">
        <w:rPr>
          <w:rFonts w:ascii="Times New Roman" w:hAnsi="Times New Roman" w:cs="Times New Roman"/>
          <w:sz w:val="24"/>
          <w:szCs w:val="24"/>
        </w:rPr>
        <w:t xml:space="preserve"> (</w:t>
      </w:r>
      <w:r w:rsidR="009D0D77">
        <w:rPr>
          <w:rFonts w:ascii="Times New Roman" w:hAnsi="Times New Roman" w:cs="Times New Roman"/>
          <w:sz w:val="24"/>
          <w:szCs w:val="24"/>
        </w:rPr>
        <w:t xml:space="preserve">a sample of such scholarship is noted in </w:t>
      </w:r>
      <w:r w:rsidR="004A07D4">
        <w:rPr>
          <w:rFonts w:ascii="Times New Roman" w:hAnsi="Times New Roman" w:cs="Times New Roman"/>
          <w:sz w:val="24"/>
          <w:szCs w:val="24"/>
        </w:rPr>
        <w:t>Volgy et al. 2017a,</w:t>
      </w:r>
      <w:r w:rsidR="009463C0">
        <w:rPr>
          <w:rFonts w:ascii="Times New Roman" w:hAnsi="Times New Roman" w:cs="Times New Roman"/>
          <w:sz w:val="24"/>
          <w:szCs w:val="24"/>
        </w:rPr>
        <w:t xml:space="preserve"> </w:t>
      </w:r>
      <w:r w:rsidR="004A07D4">
        <w:rPr>
          <w:rFonts w:ascii="Times New Roman" w:hAnsi="Times New Roman" w:cs="Times New Roman"/>
          <w:sz w:val="24"/>
          <w:szCs w:val="24"/>
        </w:rPr>
        <w:t>b)</w:t>
      </w:r>
      <w:r w:rsidRPr="00CC223E">
        <w:rPr>
          <w:rFonts w:ascii="Times New Roman" w:hAnsi="Times New Roman" w:cs="Times New Roman"/>
          <w:sz w:val="24"/>
          <w:szCs w:val="24"/>
        </w:rPr>
        <w:t>,</w:t>
      </w:r>
      <w:r>
        <w:rPr>
          <w:rFonts w:ascii="Times New Roman" w:hAnsi="Times New Roman" w:cs="Times New Roman"/>
          <w:sz w:val="24"/>
          <w:szCs w:val="24"/>
        </w:rPr>
        <w:t xml:space="preserve"> often lack the expertise </w:t>
      </w:r>
      <w:r w:rsidR="001D09A8">
        <w:rPr>
          <w:rFonts w:ascii="Times New Roman" w:hAnsi="Times New Roman" w:cs="Times New Roman"/>
          <w:sz w:val="24"/>
          <w:szCs w:val="24"/>
        </w:rPr>
        <w:t>developed</w:t>
      </w:r>
      <w:r>
        <w:rPr>
          <w:rFonts w:ascii="Times New Roman" w:hAnsi="Times New Roman" w:cs="Times New Roman"/>
          <w:sz w:val="24"/>
          <w:szCs w:val="24"/>
        </w:rPr>
        <w:t xml:space="preserve"> by area specialists. </w:t>
      </w:r>
      <w:r w:rsidR="005068C4">
        <w:rPr>
          <w:rFonts w:ascii="Times New Roman" w:hAnsi="Times New Roman" w:cs="Times New Roman"/>
          <w:sz w:val="24"/>
          <w:szCs w:val="24"/>
        </w:rPr>
        <w:t>Instead,</w:t>
      </w:r>
      <w:r>
        <w:rPr>
          <w:rFonts w:ascii="Times New Roman" w:hAnsi="Times New Roman" w:cs="Times New Roman"/>
          <w:sz w:val="24"/>
          <w:szCs w:val="24"/>
        </w:rPr>
        <w:t xml:space="preserve"> </w:t>
      </w:r>
      <w:r w:rsidR="00716F01">
        <w:rPr>
          <w:rFonts w:ascii="Times New Roman" w:hAnsi="Times New Roman" w:cs="Times New Roman"/>
          <w:sz w:val="24"/>
          <w:szCs w:val="24"/>
        </w:rPr>
        <w:t xml:space="preserve">international relations scholars </w:t>
      </w:r>
      <w:r>
        <w:rPr>
          <w:rFonts w:ascii="Times New Roman" w:hAnsi="Times New Roman" w:cs="Times New Roman"/>
          <w:sz w:val="24"/>
          <w:szCs w:val="24"/>
        </w:rPr>
        <w:t>bring to their analysis a search for patterns that are applicable across regions</w:t>
      </w:r>
      <w:r w:rsidR="00210C20">
        <w:rPr>
          <w:rFonts w:ascii="Times New Roman" w:hAnsi="Times New Roman" w:cs="Times New Roman"/>
          <w:sz w:val="24"/>
          <w:szCs w:val="24"/>
        </w:rPr>
        <w:t xml:space="preserve"> in the context of their knowledge of international politics</w:t>
      </w:r>
      <w:r>
        <w:rPr>
          <w:rFonts w:ascii="Times New Roman" w:hAnsi="Times New Roman" w:cs="Times New Roman"/>
          <w:sz w:val="24"/>
          <w:szCs w:val="24"/>
        </w:rPr>
        <w:t xml:space="preserve">. </w:t>
      </w:r>
      <w:r w:rsidR="0016791F">
        <w:rPr>
          <w:rFonts w:ascii="Times New Roman" w:hAnsi="Times New Roman" w:cs="Times New Roman"/>
          <w:sz w:val="24"/>
          <w:szCs w:val="24"/>
        </w:rPr>
        <w:t xml:space="preserve">Comparative regional analysts </w:t>
      </w:r>
      <w:r>
        <w:rPr>
          <w:rFonts w:ascii="Times New Roman" w:hAnsi="Times New Roman" w:cs="Times New Roman"/>
          <w:sz w:val="24"/>
          <w:szCs w:val="24"/>
        </w:rPr>
        <w:t>approach a geopolitical area such as the Middle East</w:t>
      </w:r>
      <w:r w:rsidR="009D0D77">
        <w:rPr>
          <w:rFonts w:ascii="Times New Roman" w:hAnsi="Times New Roman" w:cs="Times New Roman"/>
          <w:sz w:val="24"/>
          <w:szCs w:val="24"/>
        </w:rPr>
        <w:t xml:space="preserve"> </w:t>
      </w:r>
      <w:r w:rsidR="004A07D4">
        <w:rPr>
          <w:rFonts w:ascii="Times New Roman" w:hAnsi="Times New Roman" w:cs="Times New Roman"/>
          <w:sz w:val="24"/>
          <w:szCs w:val="24"/>
        </w:rPr>
        <w:t xml:space="preserve">by </w:t>
      </w:r>
      <w:r>
        <w:rPr>
          <w:rFonts w:ascii="Times New Roman" w:hAnsi="Times New Roman" w:cs="Times New Roman"/>
          <w:sz w:val="24"/>
          <w:szCs w:val="24"/>
        </w:rPr>
        <w:t>assessing</w:t>
      </w:r>
      <w:r w:rsidR="001415A3">
        <w:rPr>
          <w:rFonts w:ascii="Times New Roman" w:hAnsi="Times New Roman" w:cs="Times New Roman"/>
          <w:sz w:val="24"/>
          <w:szCs w:val="24"/>
        </w:rPr>
        <w:t xml:space="preserve"> variation in</w:t>
      </w:r>
      <w:r>
        <w:rPr>
          <w:rFonts w:ascii="Times New Roman" w:hAnsi="Times New Roman" w:cs="Times New Roman"/>
          <w:sz w:val="24"/>
          <w:szCs w:val="24"/>
        </w:rPr>
        <w:t xml:space="preserve"> </w:t>
      </w:r>
      <w:r w:rsidRPr="00CC223E">
        <w:rPr>
          <w:rFonts w:ascii="Times New Roman" w:hAnsi="Times New Roman" w:cs="Times New Roman"/>
          <w:sz w:val="24"/>
          <w:szCs w:val="24"/>
        </w:rPr>
        <w:t>the commonalities regions share</w:t>
      </w:r>
      <w:r>
        <w:rPr>
          <w:rFonts w:ascii="Times New Roman" w:hAnsi="Times New Roman" w:cs="Times New Roman"/>
          <w:sz w:val="24"/>
          <w:szCs w:val="24"/>
        </w:rPr>
        <w:t xml:space="preserve"> (</w:t>
      </w:r>
      <w:r w:rsidRPr="007A5EE8">
        <w:rPr>
          <w:rFonts w:ascii="Times New Roman" w:hAnsi="Times New Roman" w:cs="Times New Roman"/>
          <w:sz w:val="24"/>
          <w:szCs w:val="24"/>
        </w:rPr>
        <w:t>rather</w:t>
      </w:r>
      <w:r w:rsidR="00BA6A4C">
        <w:rPr>
          <w:rFonts w:ascii="Times New Roman" w:hAnsi="Times New Roman" w:cs="Times New Roman"/>
          <w:sz w:val="24"/>
          <w:szCs w:val="24"/>
        </w:rPr>
        <w:t xml:space="preserve"> than</w:t>
      </w:r>
      <w:r w:rsidRPr="007A5EE8">
        <w:rPr>
          <w:rFonts w:ascii="Times New Roman" w:hAnsi="Times New Roman" w:cs="Times New Roman"/>
          <w:sz w:val="24"/>
          <w:szCs w:val="24"/>
        </w:rPr>
        <w:t xml:space="preserve"> their unique characteristics</w:t>
      </w:r>
      <w:r>
        <w:rPr>
          <w:rFonts w:ascii="Times New Roman" w:hAnsi="Times New Roman" w:cs="Times New Roman"/>
          <w:sz w:val="24"/>
          <w:szCs w:val="24"/>
        </w:rPr>
        <w:t xml:space="preserve">), commonalities that </w:t>
      </w:r>
      <w:r w:rsidR="009D0D77">
        <w:rPr>
          <w:rFonts w:ascii="Times New Roman" w:hAnsi="Times New Roman" w:cs="Times New Roman"/>
          <w:sz w:val="24"/>
          <w:szCs w:val="24"/>
        </w:rPr>
        <w:t xml:space="preserve">should </w:t>
      </w:r>
      <w:r>
        <w:rPr>
          <w:rFonts w:ascii="Times New Roman" w:hAnsi="Times New Roman" w:cs="Times New Roman"/>
          <w:sz w:val="24"/>
          <w:szCs w:val="24"/>
        </w:rPr>
        <w:t>help explain patterns of cooperation or conflict within any region.</w:t>
      </w:r>
      <w:r w:rsidR="00C43812">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w:t>
      </w:r>
    </w:p>
    <w:p w14:paraId="3E4D1301" w14:textId="760A614C" w:rsidR="001415A3" w:rsidRDefault="001415A3" w:rsidP="006B3E0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It </w:t>
      </w:r>
      <w:r w:rsidR="00BA6A4C">
        <w:rPr>
          <w:rFonts w:ascii="Times New Roman" w:hAnsi="Times New Roman" w:cs="Times New Roman"/>
          <w:sz w:val="24"/>
          <w:szCs w:val="24"/>
        </w:rPr>
        <w:t xml:space="preserve">may </w:t>
      </w:r>
      <w:r>
        <w:rPr>
          <w:rFonts w:ascii="Times New Roman" w:hAnsi="Times New Roman" w:cs="Times New Roman"/>
          <w:sz w:val="24"/>
          <w:szCs w:val="24"/>
        </w:rPr>
        <w:t xml:space="preserve">well be </w:t>
      </w:r>
      <w:r w:rsidR="009D0D77">
        <w:rPr>
          <w:rFonts w:ascii="Times New Roman" w:hAnsi="Times New Roman" w:cs="Times New Roman"/>
          <w:sz w:val="24"/>
          <w:szCs w:val="24"/>
        </w:rPr>
        <w:t xml:space="preserve">that </w:t>
      </w:r>
      <w:r>
        <w:rPr>
          <w:rFonts w:ascii="Times New Roman" w:hAnsi="Times New Roman" w:cs="Times New Roman"/>
          <w:sz w:val="24"/>
          <w:szCs w:val="24"/>
        </w:rPr>
        <w:t xml:space="preserve">both perspectives eventually identify a region as being unique, although </w:t>
      </w:r>
      <w:r w:rsidR="001D09A8">
        <w:rPr>
          <w:rFonts w:ascii="Times New Roman" w:hAnsi="Times New Roman" w:cs="Times New Roman"/>
          <w:sz w:val="24"/>
          <w:szCs w:val="24"/>
        </w:rPr>
        <w:t xml:space="preserve">they may do so </w:t>
      </w:r>
      <w:r>
        <w:rPr>
          <w:rFonts w:ascii="Times New Roman" w:hAnsi="Times New Roman" w:cs="Times New Roman"/>
          <w:sz w:val="24"/>
          <w:szCs w:val="24"/>
        </w:rPr>
        <w:t xml:space="preserve">for different reasons. Area specialists may focus on sets of regional </w:t>
      </w:r>
      <w:r>
        <w:rPr>
          <w:rFonts w:ascii="Times New Roman" w:hAnsi="Times New Roman" w:cs="Times New Roman"/>
          <w:sz w:val="24"/>
          <w:szCs w:val="24"/>
        </w:rPr>
        <w:lastRenderedPageBreak/>
        <w:t xml:space="preserve">characteristics not </w:t>
      </w:r>
      <w:r w:rsidR="001D09A8">
        <w:rPr>
          <w:rFonts w:ascii="Times New Roman" w:hAnsi="Times New Roman" w:cs="Times New Roman"/>
          <w:sz w:val="24"/>
          <w:szCs w:val="24"/>
        </w:rPr>
        <w:t xml:space="preserve">exhibited in </w:t>
      </w:r>
      <w:r>
        <w:rPr>
          <w:rFonts w:ascii="Times New Roman" w:hAnsi="Times New Roman" w:cs="Times New Roman"/>
          <w:sz w:val="24"/>
          <w:szCs w:val="24"/>
        </w:rPr>
        <w:t>other regions (common religious preferences</w:t>
      </w:r>
      <w:r w:rsidR="005068C4">
        <w:rPr>
          <w:rFonts w:ascii="Times New Roman" w:hAnsi="Times New Roman" w:cs="Times New Roman"/>
          <w:sz w:val="24"/>
          <w:szCs w:val="24"/>
        </w:rPr>
        <w:t>; colonial heritage; topography;</w:t>
      </w:r>
      <w:r>
        <w:rPr>
          <w:rFonts w:ascii="Times New Roman" w:hAnsi="Times New Roman" w:cs="Times New Roman"/>
          <w:sz w:val="24"/>
          <w:szCs w:val="24"/>
        </w:rPr>
        <w:t xml:space="preserve"> an unusual set of political systems or </w:t>
      </w:r>
      <w:r w:rsidR="001D09A8">
        <w:rPr>
          <w:rFonts w:ascii="Times New Roman" w:hAnsi="Times New Roman" w:cs="Times New Roman"/>
          <w:sz w:val="24"/>
          <w:szCs w:val="24"/>
        </w:rPr>
        <w:t xml:space="preserve">a distinct </w:t>
      </w:r>
      <w:r>
        <w:rPr>
          <w:rFonts w:ascii="Times New Roman" w:hAnsi="Times New Roman" w:cs="Times New Roman"/>
          <w:sz w:val="24"/>
          <w:szCs w:val="24"/>
        </w:rPr>
        <w:t>political culture, etc</w:t>
      </w:r>
      <w:r w:rsidR="00716F01">
        <w:rPr>
          <w:rFonts w:ascii="Times New Roman" w:hAnsi="Times New Roman" w:cs="Times New Roman"/>
          <w:sz w:val="24"/>
          <w:szCs w:val="24"/>
        </w:rPr>
        <w:t>.</w:t>
      </w:r>
      <w:r>
        <w:rPr>
          <w:rFonts w:ascii="Times New Roman" w:hAnsi="Times New Roman" w:cs="Times New Roman"/>
          <w:sz w:val="24"/>
          <w:szCs w:val="24"/>
        </w:rPr>
        <w:t xml:space="preserve">). Comparative regional analysts </w:t>
      </w:r>
      <w:r w:rsidR="00716F01">
        <w:rPr>
          <w:rFonts w:ascii="Times New Roman" w:hAnsi="Times New Roman" w:cs="Times New Roman"/>
          <w:sz w:val="24"/>
          <w:szCs w:val="24"/>
        </w:rPr>
        <w:t xml:space="preserve">may </w:t>
      </w:r>
      <w:r>
        <w:rPr>
          <w:rFonts w:ascii="Times New Roman" w:hAnsi="Times New Roman" w:cs="Times New Roman"/>
          <w:sz w:val="24"/>
          <w:szCs w:val="24"/>
        </w:rPr>
        <w:t xml:space="preserve">identify a range of variables </w:t>
      </w:r>
      <w:r w:rsidR="00716F01">
        <w:rPr>
          <w:rFonts w:ascii="Times New Roman" w:hAnsi="Times New Roman" w:cs="Times New Roman"/>
          <w:sz w:val="24"/>
          <w:szCs w:val="24"/>
        </w:rPr>
        <w:t>driving</w:t>
      </w:r>
      <w:r>
        <w:rPr>
          <w:rFonts w:ascii="Times New Roman" w:hAnsi="Times New Roman" w:cs="Times New Roman"/>
          <w:sz w:val="24"/>
          <w:szCs w:val="24"/>
        </w:rPr>
        <w:t xml:space="preserve"> </w:t>
      </w:r>
      <w:r w:rsidR="00157DF9">
        <w:rPr>
          <w:rFonts w:ascii="Times New Roman" w:hAnsi="Times New Roman" w:cs="Times New Roman"/>
          <w:sz w:val="24"/>
          <w:szCs w:val="24"/>
        </w:rPr>
        <w:t>political relationships within all regions; on some of those salient characteristics a region may register uniquely from other</w:t>
      </w:r>
      <w:r w:rsidR="00716F01">
        <w:rPr>
          <w:rFonts w:ascii="Times New Roman" w:hAnsi="Times New Roman" w:cs="Times New Roman"/>
          <w:sz w:val="24"/>
          <w:szCs w:val="24"/>
        </w:rPr>
        <w:t>s</w:t>
      </w:r>
      <w:r w:rsidR="007A5EE8">
        <w:rPr>
          <w:rFonts w:ascii="Times New Roman" w:hAnsi="Times New Roman" w:cs="Times New Roman"/>
          <w:sz w:val="24"/>
          <w:szCs w:val="24"/>
        </w:rPr>
        <w:t xml:space="preserve">, and its placement on that variable </w:t>
      </w:r>
      <w:r w:rsidR="005068C4">
        <w:rPr>
          <w:rFonts w:ascii="Times New Roman" w:hAnsi="Times New Roman" w:cs="Times New Roman"/>
          <w:sz w:val="24"/>
          <w:szCs w:val="24"/>
        </w:rPr>
        <w:t xml:space="preserve">may be </w:t>
      </w:r>
      <w:r w:rsidR="007A5EE8">
        <w:rPr>
          <w:rFonts w:ascii="Times New Roman" w:hAnsi="Times New Roman" w:cs="Times New Roman"/>
          <w:sz w:val="24"/>
          <w:szCs w:val="24"/>
        </w:rPr>
        <w:t xml:space="preserve">strongly linked to the dependent variable </w:t>
      </w:r>
      <w:r w:rsidR="005464E8">
        <w:rPr>
          <w:rFonts w:ascii="Times New Roman" w:hAnsi="Times New Roman" w:cs="Times New Roman"/>
          <w:sz w:val="24"/>
          <w:szCs w:val="24"/>
        </w:rPr>
        <w:t>in question</w:t>
      </w:r>
      <w:r w:rsidR="007A5EE8">
        <w:rPr>
          <w:rFonts w:ascii="Times New Roman" w:hAnsi="Times New Roman" w:cs="Times New Roman"/>
          <w:sz w:val="24"/>
          <w:szCs w:val="24"/>
        </w:rPr>
        <w:t>.</w:t>
      </w:r>
      <w:r w:rsidR="00157DF9">
        <w:rPr>
          <w:rFonts w:ascii="Times New Roman" w:hAnsi="Times New Roman" w:cs="Times New Roman"/>
          <w:sz w:val="24"/>
          <w:szCs w:val="24"/>
        </w:rPr>
        <w:t xml:space="preserve"> For example, our focus here is on regional rivalries</w:t>
      </w:r>
      <w:r w:rsidR="007A5EE8">
        <w:rPr>
          <w:rFonts w:ascii="Times New Roman" w:hAnsi="Times New Roman" w:cs="Times New Roman"/>
          <w:sz w:val="24"/>
          <w:szCs w:val="24"/>
        </w:rPr>
        <w:t>,</w:t>
      </w:r>
      <w:r w:rsidR="00157DF9">
        <w:rPr>
          <w:rFonts w:ascii="Times New Roman" w:hAnsi="Times New Roman" w:cs="Times New Roman"/>
          <w:sz w:val="24"/>
          <w:szCs w:val="24"/>
        </w:rPr>
        <w:t xml:space="preserve"> their densities</w:t>
      </w:r>
      <w:r w:rsidR="007A5EE8">
        <w:rPr>
          <w:rFonts w:ascii="Times New Roman" w:hAnsi="Times New Roman" w:cs="Times New Roman"/>
          <w:sz w:val="24"/>
          <w:szCs w:val="24"/>
        </w:rPr>
        <w:t>, and how such considerations impact levels of intra-regional conflict</w:t>
      </w:r>
      <w:r w:rsidR="00157DF9">
        <w:rPr>
          <w:rFonts w:ascii="Times New Roman" w:hAnsi="Times New Roman" w:cs="Times New Roman"/>
          <w:sz w:val="24"/>
          <w:szCs w:val="24"/>
        </w:rPr>
        <w:t>. Regional rivalries are salient for all regions; what may be unique for the Middle East is that it “enjoys” a substantially thicker clustering of such rivalries than any other geopolitical area in international politics</w:t>
      </w:r>
      <w:r w:rsidR="005464E8">
        <w:rPr>
          <w:rFonts w:ascii="Times New Roman" w:hAnsi="Times New Roman" w:cs="Times New Roman"/>
          <w:sz w:val="24"/>
          <w:szCs w:val="24"/>
        </w:rPr>
        <w:t xml:space="preserve">. This </w:t>
      </w:r>
      <w:r w:rsidR="00157DF9">
        <w:rPr>
          <w:rFonts w:ascii="Times New Roman" w:hAnsi="Times New Roman" w:cs="Times New Roman"/>
          <w:sz w:val="24"/>
          <w:szCs w:val="24"/>
        </w:rPr>
        <w:t>mak</w:t>
      </w:r>
      <w:r w:rsidR="005464E8">
        <w:rPr>
          <w:rFonts w:ascii="Times New Roman" w:hAnsi="Times New Roman" w:cs="Times New Roman"/>
          <w:sz w:val="24"/>
          <w:szCs w:val="24"/>
        </w:rPr>
        <w:t>es</w:t>
      </w:r>
      <w:r w:rsidR="00157DF9">
        <w:rPr>
          <w:rFonts w:ascii="Times New Roman" w:hAnsi="Times New Roman" w:cs="Times New Roman"/>
          <w:sz w:val="24"/>
          <w:szCs w:val="24"/>
        </w:rPr>
        <w:t xml:space="preserve"> </w:t>
      </w:r>
      <w:r w:rsidR="005464E8">
        <w:rPr>
          <w:rFonts w:ascii="Times New Roman" w:hAnsi="Times New Roman" w:cs="Times New Roman"/>
          <w:sz w:val="24"/>
          <w:szCs w:val="24"/>
        </w:rPr>
        <w:t>the Middle East</w:t>
      </w:r>
      <w:r w:rsidR="00157DF9">
        <w:rPr>
          <w:rFonts w:ascii="Times New Roman" w:hAnsi="Times New Roman" w:cs="Times New Roman"/>
          <w:sz w:val="24"/>
          <w:szCs w:val="24"/>
        </w:rPr>
        <w:t xml:space="preserve"> unique </w:t>
      </w:r>
      <w:r w:rsidR="005068C4">
        <w:rPr>
          <w:rFonts w:ascii="Times New Roman" w:hAnsi="Times New Roman" w:cs="Times New Roman"/>
          <w:sz w:val="24"/>
          <w:szCs w:val="24"/>
        </w:rPr>
        <w:t xml:space="preserve">even </w:t>
      </w:r>
      <w:r w:rsidR="00157DF9">
        <w:rPr>
          <w:rFonts w:ascii="Times New Roman" w:hAnsi="Times New Roman" w:cs="Times New Roman"/>
          <w:sz w:val="24"/>
          <w:szCs w:val="24"/>
        </w:rPr>
        <w:t>from the standpoint of comparative regional analysis.</w:t>
      </w:r>
      <w:r w:rsidR="007A5EE8">
        <w:rPr>
          <w:rFonts w:ascii="Times New Roman" w:hAnsi="Times New Roman" w:cs="Times New Roman"/>
          <w:sz w:val="24"/>
          <w:szCs w:val="24"/>
        </w:rPr>
        <w:t xml:space="preserve"> </w:t>
      </w:r>
      <w:r w:rsidR="00DA499E">
        <w:rPr>
          <w:rFonts w:ascii="Times New Roman" w:hAnsi="Times New Roman" w:cs="Times New Roman"/>
          <w:sz w:val="24"/>
          <w:szCs w:val="24"/>
        </w:rPr>
        <w:t>What is more, s</w:t>
      </w:r>
      <w:r w:rsidR="007A5EE8">
        <w:rPr>
          <w:rFonts w:ascii="Times New Roman" w:hAnsi="Times New Roman" w:cs="Times New Roman"/>
          <w:sz w:val="24"/>
          <w:szCs w:val="24"/>
        </w:rPr>
        <w:t>uch uniqueness may help account for why in post-World War II international politics the Middle East has been consistently the most conflict-prone of all regions.</w:t>
      </w:r>
    </w:p>
    <w:p w14:paraId="0FE1C0DC" w14:textId="44C1B743" w:rsidR="00BD12C8" w:rsidRDefault="004A07D4" w:rsidP="00823E67">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Both approaches have helped advance knowledge </w:t>
      </w:r>
      <w:r w:rsidR="00DA499E">
        <w:rPr>
          <w:rFonts w:ascii="Times New Roman" w:hAnsi="Times New Roman" w:cs="Times New Roman"/>
          <w:sz w:val="24"/>
          <w:szCs w:val="24"/>
        </w:rPr>
        <w:t xml:space="preserve">concerning </w:t>
      </w:r>
      <w:r>
        <w:rPr>
          <w:rFonts w:ascii="Times New Roman" w:hAnsi="Times New Roman" w:cs="Times New Roman"/>
          <w:sz w:val="24"/>
          <w:szCs w:val="24"/>
        </w:rPr>
        <w:t>how regions operate, and both</w:t>
      </w:r>
      <w:r w:rsidR="00F77FF6">
        <w:rPr>
          <w:rFonts w:ascii="Times New Roman" w:hAnsi="Times New Roman" w:cs="Times New Roman"/>
          <w:sz w:val="24"/>
          <w:szCs w:val="24"/>
        </w:rPr>
        <w:t xml:space="preserve"> </w:t>
      </w:r>
      <w:r>
        <w:rPr>
          <w:rFonts w:ascii="Times New Roman" w:hAnsi="Times New Roman" w:cs="Times New Roman"/>
          <w:sz w:val="24"/>
          <w:szCs w:val="24"/>
        </w:rPr>
        <w:t>approaches provide theoretically interesting answers to the question of why some regions are more conflictual than others. The approach we bring to this project is from the second school and reflects our own bias</w:t>
      </w:r>
      <w:r w:rsidR="009D0D77">
        <w:rPr>
          <w:rFonts w:ascii="Times New Roman" w:hAnsi="Times New Roman" w:cs="Times New Roman"/>
          <w:sz w:val="24"/>
          <w:szCs w:val="24"/>
        </w:rPr>
        <w:t xml:space="preserve"> toward</w:t>
      </w:r>
      <w:r>
        <w:rPr>
          <w:rFonts w:ascii="Times New Roman" w:hAnsi="Times New Roman" w:cs="Times New Roman"/>
          <w:sz w:val="24"/>
          <w:szCs w:val="24"/>
        </w:rPr>
        <w:t xml:space="preserve"> comparative regional analysis. In the following, we first offer a theoretical framework </w:t>
      </w:r>
      <w:r w:rsidR="002866F5">
        <w:rPr>
          <w:rFonts w:ascii="Times New Roman" w:hAnsi="Times New Roman" w:cs="Times New Roman"/>
          <w:sz w:val="24"/>
          <w:szCs w:val="24"/>
        </w:rPr>
        <w:t>suggesting</w:t>
      </w:r>
      <w:r>
        <w:rPr>
          <w:rFonts w:ascii="Times New Roman" w:hAnsi="Times New Roman" w:cs="Times New Roman"/>
          <w:sz w:val="24"/>
          <w:szCs w:val="24"/>
        </w:rPr>
        <w:t xml:space="preserve"> the variety of conditions under which regions may experience different levels of intra-regional conflict or cooperation. Applying the framework, we find that while it works relatively well in accounting for which regions are more conflictual or pacific, it also indicates that on at least one crucial dimension—the extent to which interstate rivalries dominate relations between states—the Middle East region stands out as truly unique.</w:t>
      </w:r>
      <w:r w:rsidR="005464E8">
        <w:rPr>
          <w:rFonts w:ascii="Times New Roman" w:hAnsi="Times New Roman" w:cs="Times New Roman"/>
          <w:sz w:val="24"/>
          <w:szCs w:val="24"/>
        </w:rPr>
        <w:t xml:space="preserve"> </w:t>
      </w:r>
      <w:r w:rsidR="00BD12C8">
        <w:rPr>
          <w:rFonts w:ascii="Times New Roman" w:hAnsi="Times New Roman" w:cs="Times New Roman"/>
          <w:sz w:val="24"/>
          <w:szCs w:val="24"/>
        </w:rPr>
        <w:t>Once we have demonstrated that uniqueness, we explore fluctuations in the Middle East</w:t>
      </w:r>
      <w:r w:rsidR="002866F5">
        <w:rPr>
          <w:rFonts w:ascii="Times New Roman" w:hAnsi="Times New Roman" w:cs="Times New Roman"/>
          <w:sz w:val="24"/>
          <w:szCs w:val="24"/>
        </w:rPr>
        <w:t xml:space="preserve"> </w:t>
      </w:r>
      <w:r w:rsidR="00BD12C8">
        <w:rPr>
          <w:rFonts w:ascii="Times New Roman" w:hAnsi="Times New Roman" w:cs="Times New Roman"/>
          <w:sz w:val="24"/>
          <w:szCs w:val="24"/>
        </w:rPr>
        <w:t xml:space="preserve">rivalry field over </w:t>
      </w:r>
      <w:r w:rsidR="00BD12C8">
        <w:rPr>
          <w:rFonts w:ascii="Times New Roman" w:hAnsi="Times New Roman" w:cs="Times New Roman"/>
          <w:sz w:val="24"/>
          <w:szCs w:val="24"/>
        </w:rPr>
        <w:lastRenderedPageBreak/>
        <w:t>time, link those fluctuations to regional shocks, and suggest consequences both for the region and for other regions in world politics.</w:t>
      </w:r>
    </w:p>
    <w:p w14:paraId="62B077E9" w14:textId="77777777" w:rsidR="00BD12C8" w:rsidRPr="00BD12C8" w:rsidRDefault="00BD12C8" w:rsidP="005464E8">
      <w:pPr>
        <w:pStyle w:val="NoSpacing"/>
        <w:spacing w:line="480" w:lineRule="auto"/>
        <w:outlineLvl w:val="0"/>
        <w:rPr>
          <w:rFonts w:ascii="Times New Roman" w:hAnsi="Times New Roman" w:cs="Times New Roman"/>
          <w:b/>
          <w:i/>
          <w:sz w:val="24"/>
          <w:szCs w:val="24"/>
        </w:rPr>
      </w:pPr>
      <w:r w:rsidRPr="00BD12C8">
        <w:rPr>
          <w:rFonts w:ascii="Times New Roman" w:hAnsi="Times New Roman" w:cs="Times New Roman"/>
          <w:b/>
          <w:i/>
          <w:sz w:val="24"/>
          <w:szCs w:val="24"/>
        </w:rPr>
        <w:t>A Conceptual and Theoretical Framework</w:t>
      </w:r>
    </w:p>
    <w:p w14:paraId="26F50422" w14:textId="4BCDCA1C" w:rsidR="007E29FA" w:rsidRDefault="00BD12C8" w:rsidP="00BD12C8">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Our primary interest is why some regions are conflict</w:t>
      </w:r>
      <w:r w:rsidR="00A86788">
        <w:rPr>
          <w:rFonts w:ascii="Times New Roman" w:hAnsi="Times New Roman" w:cs="Times New Roman"/>
          <w:sz w:val="24"/>
          <w:szCs w:val="24"/>
        </w:rPr>
        <w:t>-</w:t>
      </w:r>
      <w:r>
        <w:rPr>
          <w:rFonts w:ascii="Times New Roman" w:hAnsi="Times New Roman" w:cs="Times New Roman"/>
          <w:sz w:val="24"/>
          <w:szCs w:val="24"/>
        </w:rPr>
        <w:t xml:space="preserve">prone, others are pacific, and others still have moved from one category to another. </w:t>
      </w:r>
      <w:r w:rsidR="00C057A4">
        <w:rPr>
          <w:rFonts w:ascii="Times New Roman" w:hAnsi="Times New Roman" w:cs="Times New Roman"/>
          <w:sz w:val="24"/>
          <w:szCs w:val="24"/>
        </w:rPr>
        <w:t xml:space="preserve">Figure 1 illustrates the sets of considerations </w:t>
      </w:r>
      <w:r w:rsidR="009E17FF">
        <w:rPr>
          <w:rFonts w:ascii="Times New Roman" w:hAnsi="Times New Roman" w:cs="Times New Roman"/>
          <w:sz w:val="24"/>
          <w:szCs w:val="24"/>
        </w:rPr>
        <w:t>helping</w:t>
      </w:r>
      <w:r w:rsidR="00C057A4">
        <w:rPr>
          <w:rFonts w:ascii="Times New Roman" w:hAnsi="Times New Roman" w:cs="Times New Roman"/>
          <w:sz w:val="24"/>
          <w:szCs w:val="24"/>
        </w:rPr>
        <w:t xml:space="preserve"> </w:t>
      </w:r>
      <w:r w:rsidR="00D92F0C">
        <w:rPr>
          <w:rFonts w:ascii="Times New Roman" w:hAnsi="Times New Roman" w:cs="Times New Roman"/>
          <w:sz w:val="24"/>
          <w:szCs w:val="24"/>
        </w:rPr>
        <w:t xml:space="preserve">to </w:t>
      </w:r>
      <w:r w:rsidR="00C057A4">
        <w:rPr>
          <w:rFonts w:ascii="Times New Roman" w:hAnsi="Times New Roman" w:cs="Times New Roman"/>
          <w:sz w:val="24"/>
          <w:szCs w:val="24"/>
        </w:rPr>
        <w:t xml:space="preserve">explain variation in intra-regional conflict </w:t>
      </w:r>
      <w:r w:rsidR="00A44988">
        <w:rPr>
          <w:rFonts w:ascii="Times New Roman" w:hAnsi="Times New Roman" w:cs="Times New Roman"/>
          <w:sz w:val="24"/>
          <w:szCs w:val="24"/>
        </w:rPr>
        <w:t>in world politics.</w:t>
      </w:r>
    </w:p>
    <w:tbl>
      <w:tblPr>
        <w:tblStyle w:val="TableGrid1"/>
        <w:tblW w:w="0" w:type="auto"/>
        <w:jc w:val="center"/>
        <w:tblLook w:val="04A0" w:firstRow="1" w:lastRow="0" w:firstColumn="1" w:lastColumn="0" w:noHBand="0" w:noVBand="1"/>
      </w:tblPr>
      <w:tblGrid>
        <w:gridCol w:w="9350"/>
      </w:tblGrid>
      <w:tr w:rsidR="004A07D4" w:rsidRPr="0027226C" w14:paraId="7B36E5C3" w14:textId="77777777" w:rsidTr="004A07D4">
        <w:trPr>
          <w:jc w:val="center"/>
        </w:trPr>
        <w:tc>
          <w:tcPr>
            <w:tcW w:w="9350" w:type="dxa"/>
            <w:tcBorders>
              <w:top w:val="nil"/>
              <w:left w:val="nil"/>
              <w:bottom w:val="single" w:sz="4" w:space="0" w:color="auto"/>
              <w:right w:val="nil"/>
            </w:tcBorders>
          </w:tcPr>
          <w:p w14:paraId="554CB7E0" w14:textId="77777777" w:rsidR="004A07D4" w:rsidRPr="0027226C" w:rsidRDefault="004A07D4" w:rsidP="004A07D4">
            <w:pPr>
              <w:ind w:right="-360"/>
              <w:rPr>
                <w:rFonts w:eastAsia="Calibri"/>
                <w:b/>
              </w:rPr>
            </w:pPr>
            <w:r w:rsidRPr="0027226C">
              <w:rPr>
                <w:rFonts w:eastAsia="Calibri"/>
                <w:b/>
              </w:rPr>
              <w:t>Figure 1. A Theoretical Framework Regarding Intra-Regional Conflict and Cooperation.</w:t>
            </w:r>
          </w:p>
        </w:tc>
      </w:tr>
      <w:tr w:rsidR="004A07D4" w:rsidRPr="0027226C" w14:paraId="5C486DB6" w14:textId="77777777" w:rsidTr="004A07D4">
        <w:trPr>
          <w:jc w:val="center"/>
        </w:trPr>
        <w:tc>
          <w:tcPr>
            <w:tcW w:w="9350" w:type="dxa"/>
            <w:tcBorders>
              <w:left w:val="nil"/>
              <w:right w:val="nil"/>
            </w:tcBorders>
          </w:tcPr>
          <w:p w14:paraId="04195E6F" w14:textId="7080ADA5" w:rsidR="004A07D4" w:rsidRPr="0027226C" w:rsidRDefault="00DA499E" w:rsidP="004A07D4">
            <w:pPr>
              <w:rPr>
                <w:rFonts w:eastAsia="Calibri"/>
              </w:rPr>
            </w:pPr>
            <w:r w:rsidRPr="0027226C">
              <w:rPr>
                <w:rFonts w:eastAsia="Calibri"/>
                <w:noProof/>
              </w:rPr>
              <mc:AlternateContent>
                <mc:Choice Requires="wps">
                  <w:drawing>
                    <wp:anchor distT="0" distB="0" distL="114300" distR="114300" simplePos="0" relativeHeight="251673600" behindDoc="0" locked="0" layoutInCell="1" allowOverlap="1" wp14:anchorId="48CA2DC4" wp14:editId="286B4C3F">
                      <wp:simplePos x="0" y="0"/>
                      <wp:positionH relativeFrom="column">
                        <wp:posOffset>3133090</wp:posOffset>
                      </wp:positionH>
                      <wp:positionV relativeFrom="paragraph">
                        <wp:posOffset>570865</wp:posOffset>
                      </wp:positionV>
                      <wp:extent cx="1718945" cy="690245"/>
                      <wp:effectExtent l="50800" t="50800" r="33655" b="46355"/>
                      <wp:wrapNone/>
                      <wp:docPr id="27" name="Straight Arrow Connector 27"/>
                      <wp:cNvGraphicFramePr/>
                      <a:graphic xmlns:a="http://schemas.openxmlformats.org/drawingml/2006/main">
                        <a:graphicData uri="http://schemas.microsoft.com/office/word/2010/wordprocessingShape">
                          <wps:wsp>
                            <wps:cNvCnPr/>
                            <wps:spPr>
                              <a:xfrm flipH="1" flipV="1">
                                <a:off x="0" y="0"/>
                                <a:ext cx="1718945" cy="6902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shapetype w14:anchorId="6B3A7181" id="_x0000_t32" coordsize="21600,21600" o:spt="32" o:oned="t" path="m0,0l21600,21600e" filled="f">
                      <v:path arrowok="t" fillok="f" o:connecttype="none"/>
                      <o:lock v:ext="edit" shapetype="t"/>
                    </v:shapetype>
                    <v:shape id="Straight Arrow Connector 27" o:spid="_x0000_s1026" type="#_x0000_t32" style="position:absolute;margin-left:246.7pt;margin-top:44.95pt;width:135.35pt;height:54.3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" strokecolor="windowText" strokeweight=".5pt">
                      <v:stroke endarrow="block" joinstyle="miter"/>
                    </v:shape>
                  </w:pict>
                </mc:Fallback>
              </mc:AlternateContent>
            </w:r>
            <w:r w:rsidRPr="0027226C">
              <w:rPr>
                <w:rFonts w:eastAsia="Calibri"/>
                <w:noProof/>
              </w:rPr>
              <mc:AlternateContent>
                <mc:Choice Requires="wps">
                  <w:drawing>
                    <wp:anchor distT="0" distB="0" distL="114300" distR="114300" simplePos="0" relativeHeight="251672576" behindDoc="0" locked="0" layoutInCell="1" allowOverlap="1" wp14:anchorId="545A0492" wp14:editId="089071D2">
                      <wp:simplePos x="0" y="0"/>
                      <wp:positionH relativeFrom="column">
                        <wp:posOffset>954405</wp:posOffset>
                      </wp:positionH>
                      <wp:positionV relativeFrom="paragraph">
                        <wp:posOffset>570865</wp:posOffset>
                      </wp:positionV>
                      <wp:extent cx="1718945" cy="687705"/>
                      <wp:effectExtent l="0" t="50800" r="84455" b="48895"/>
                      <wp:wrapNone/>
                      <wp:docPr id="26" name="Straight Arrow Connector 26"/>
                      <wp:cNvGraphicFramePr/>
                      <a:graphic xmlns:a="http://schemas.openxmlformats.org/drawingml/2006/main">
                        <a:graphicData uri="http://schemas.microsoft.com/office/word/2010/wordprocessingShape">
                          <wps:wsp>
                            <wps:cNvCnPr/>
                            <wps:spPr>
                              <a:xfrm flipV="1">
                                <a:off x="0" y="0"/>
                                <a:ext cx="1718945" cy="687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shape w14:anchorId="4C9AAAE7" id="Straight Arrow Connector 26" o:spid="_x0000_s1026" type="#_x0000_t32" style="position:absolute;margin-left:75.15pt;margin-top:44.95pt;width:135.35pt;height:54.1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" strokecolor="windowText" strokeweight=".5pt">
                      <v:stroke endarrow="block" joinstyle="miter"/>
                    </v:shape>
                  </w:pict>
                </mc:Fallback>
              </mc:AlternateContent>
            </w:r>
            <w:r w:rsidR="004A07D4" w:rsidRPr="0027226C">
              <w:rPr>
                <w:rFonts w:eastAsia="Calibri"/>
                <w:noProof/>
              </w:rPr>
              <mc:AlternateContent>
                <mc:Choice Requires="wps">
                  <w:drawing>
                    <wp:anchor distT="0" distB="0" distL="114300" distR="114300" simplePos="0" relativeHeight="251669504" behindDoc="0" locked="0" layoutInCell="1" allowOverlap="1" wp14:anchorId="61A5D175" wp14:editId="31615663">
                      <wp:simplePos x="0" y="0"/>
                      <wp:positionH relativeFrom="column">
                        <wp:posOffset>2902585</wp:posOffset>
                      </wp:positionH>
                      <wp:positionV relativeFrom="paragraph">
                        <wp:posOffset>607060</wp:posOffset>
                      </wp:positionV>
                      <wp:extent cx="0" cy="1943100"/>
                      <wp:effectExtent l="50800" t="50800" r="76200" b="12700"/>
                      <wp:wrapNone/>
                      <wp:docPr id="23" name="Straight Arrow Connector 23"/>
                      <wp:cNvGraphicFramePr/>
                      <a:graphic xmlns:a="http://schemas.openxmlformats.org/drawingml/2006/main">
                        <a:graphicData uri="http://schemas.microsoft.com/office/word/2010/wordprocessingShape">
                          <wps:wsp>
                            <wps:cNvCnPr/>
                            <wps:spPr>
                              <a:xfrm flipV="1">
                                <a:off x="0" y="0"/>
                                <a:ext cx="0" cy="1943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shapetype w14:anchorId="73654DDE" id="_x0000_t32" coordsize="21600,21600" o:spt="32" o:oned="t" path="m,l21600,21600e" filled="f">
                      <v:path arrowok="t" fillok="f" o:connecttype="none"/>
                      <o:lock v:ext="edit" shapetype="t"/>
                    </v:shapetype>
                    <v:shape id="Straight Arrow Connector 23" o:spid="_x0000_s1026" type="#_x0000_t32" style="position:absolute;margin-left:228.55pt;margin-top:47.8pt;width:0;height:153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" strokecolor="windowText" strokeweight=".5pt">
                      <v:stroke endarrow="block" joinstyle="miter"/>
                    </v:shape>
                  </w:pict>
                </mc:Fallback>
              </mc:AlternateContent>
            </w:r>
            <w:r w:rsidR="004A07D4" w:rsidRPr="0027226C">
              <w:rPr>
                <w:rFonts w:eastAsia="Calibri"/>
                <w:noProof/>
              </w:rPr>
              <mc:AlternateContent>
                <mc:Choice Requires="wps">
                  <w:drawing>
                    <wp:anchor distT="0" distB="0" distL="114300" distR="114300" simplePos="0" relativeHeight="251670528" behindDoc="0" locked="0" layoutInCell="1" allowOverlap="1" wp14:anchorId="7E3BE87B" wp14:editId="13927A92">
                      <wp:simplePos x="0" y="0"/>
                      <wp:positionH relativeFrom="column">
                        <wp:posOffset>1187450</wp:posOffset>
                      </wp:positionH>
                      <wp:positionV relativeFrom="paragraph">
                        <wp:posOffset>1863725</wp:posOffset>
                      </wp:positionV>
                      <wp:extent cx="1720850" cy="685165"/>
                      <wp:effectExtent l="50800" t="50800" r="31750" b="26035"/>
                      <wp:wrapNone/>
                      <wp:docPr id="24" name="Straight Arrow Connector 24"/>
                      <wp:cNvGraphicFramePr/>
                      <a:graphic xmlns:a="http://schemas.openxmlformats.org/drawingml/2006/main">
                        <a:graphicData uri="http://schemas.microsoft.com/office/word/2010/wordprocessingShape">
                          <wps:wsp>
                            <wps:cNvCnPr/>
                            <wps:spPr>
                              <a:xfrm flipH="1" flipV="1">
                                <a:off x="0" y="0"/>
                                <a:ext cx="1720850" cy="6851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shape w14:anchorId="0E84BAEA" id="Straight Arrow Connector 24" o:spid="_x0000_s1026" type="#_x0000_t32" style="position:absolute;margin-left:93.5pt;margin-top:146.75pt;width:135.5pt;height:53.9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" strokecolor="windowText" strokeweight=".5pt">
                      <v:stroke endarrow="block" joinstyle="miter"/>
                    </v:shape>
                  </w:pict>
                </mc:Fallback>
              </mc:AlternateContent>
            </w:r>
            <w:r w:rsidR="004A07D4" w:rsidRPr="0027226C">
              <w:rPr>
                <w:rFonts w:eastAsia="Calibri"/>
                <w:noProof/>
              </w:rPr>
              <mc:AlternateContent>
                <mc:Choice Requires="wps">
                  <w:drawing>
                    <wp:anchor distT="0" distB="0" distL="114300" distR="114300" simplePos="0" relativeHeight="251671552" behindDoc="0" locked="0" layoutInCell="1" allowOverlap="1" wp14:anchorId="0E9DFB75" wp14:editId="7574EE9B">
                      <wp:simplePos x="0" y="0"/>
                      <wp:positionH relativeFrom="column">
                        <wp:posOffset>2906395</wp:posOffset>
                      </wp:positionH>
                      <wp:positionV relativeFrom="paragraph">
                        <wp:posOffset>1866265</wp:posOffset>
                      </wp:positionV>
                      <wp:extent cx="1718945" cy="685800"/>
                      <wp:effectExtent l="0" t="50800" r="84455" b="25400"/>
                      <wp:wrapNone/>
                      <wp:docPr id="25" name="Straight Arrow Connector 25"/>
                      <wp:cNvGraphicFramePr/>
                      <a:graphic xmlns:a="http://schemas.openxmlformats.org/drawingml/2006/main">
                        <a:graphicData uri="http://schemas.microsoft.com/office/word/2010/wordprocessingShape">
                          <wps:wsp>
                            <wps:cNvCnPr/>
                            <wps:spPr>
                              <a:xfrm flipV="1">
                                <a:off x="0" y="0"/>
                                <a:ext cx="1718945" cy="685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shape w14:anchorId="4C239A3E" id="Straight Arrow Connector 25" o:spid="_x0000_s1026" type="#_x0000_t32" style="position:absolute;margin-left:228.85pt;margin-top:146.95pt;width:135.35pt;height:54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" strokecolor="windowText" strokeweight=".5pt">
                      <v:stroke endarrow="block" joinstyle="miter"/>
                    </v:shape>
                  </w:pict>
                </mc:Fallback>
              </mc:AlternateContent>
            </w:r>
            <w:r w:rsidR="004A07D4" w:rsidRPr="0027226C">
              <w:rPr>
                <w:rFonts w:eastAsia="Calibri"/>
                <w:noProof/>
              </w:rPr>
              <mc:AlternateContent>
                <mc:Choice Requires="wps">
                  <w:drawing>
                    <wp:anchor distT="0" distB="0" distL="114300" distR="114300" simplePos="0" relativeHeight="251665408" behindDoc="0" locked="0" layoutInCell="1" allowOverlap="1" wp14:anchorId="3A50277D" wp14:editId="3007B96F">
                      <wp:simplePos x="0" y="0"/>
                      <wp:positionH relativeFrom="margin">
                        <wp:posOffset>1821180</wp:posOffset>
                      </wp:positionH>
                      <wp:positionV relativeFrom="paragraph">
                        <wp:posOffset>211455</wp:posOffset>
                      </wp:positionV>
                      <wp:extent cx="2289175" cy="3429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2289175" cy="342900"/>
                              </a:xfrm>
                              <a:prstGeom prst="rect">
                                <a:avLst/>
                              </a:prstGeom>
                              <a:noFill/>
                              <a:ln>
                                <a:noFill/>
                              </a:ln>
                              <a:effectLst/>
                            </wps:spPr>
                            <wps:txbx>
                              <w:txbxContent>
                                <w:p w14:paraId="2C712E0F" w14:textId="77777777" w:rsidR="00C52205" w:rsidRPr="000548F9" w:rsidRDefault="00C52205" w:rsidP="004A07D4">
                                  <w:pPr>
                                    <w:spacing w:after="0"/>
                                    <w:jc w:val="center"/>
                                    <w:rPr>
                                      <w:rFonts w:ascii="Times New Roman" w:hAnsi="Times New Roman" w:cs="Times New Roman"/>
                                      <w:b/>
                                      <w:sz w:val="24"/>
                                      <w:szCs w:val="24"/>
                                    </w:rPr>
                                  </w:pPr>
                                  <w:r w:rsidRPr="000548F9">
                                    <w:rPr>
                                      <w:rFonts w:ascii="Times New Roman" w:hAnsi="Times New Roman" w:cs="Times New Roman"/>
                                      <w:b/>
                                      <w:sz w:val="24"/>
                                      <w:szCs w:val="24"/>
                                    </w:rPr>
                                    <w:t>Regional Conflict/Cooperation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w14:anchorId="3A50277D" id="_x0000_t202" coordsize="21600,21600" o:spt="202" path="m0,0l0,21600,21600,21600,21600,0xe">
                      <v:stroke joinstyle="miter"/>
                      <v:path gradientshapeok="t" o:connecttype="rect"/>
                    </v:shapetype>
                    <v:shape id="Text Box 28" o:spid="_x0000_s1026" type="#_x0000_t202" style="position:absolute;margin-left:143.4pt;margin-top:16.65pt;width:180.25pt;height:27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" filled="f" stroked="f">
                      <v:textbox>
                        <w:txbxContent>
                          <w:p w14:paraId="2C712E0F" w14:textId="77777777" w:rsidR="00C52205" w:rsidRPr="000548F9" w:rsidRDefault="00C52205" w:rsidP="004A07D4">
                            <w:pPr>
                              <w:spacing w:after="0"/>
                              <w:jc w:val="center"/>
                              <w:rPr>
                                <w:rFonts w:ascii="Times New Roman" w:hAnsi="Times New Roman" w:cs="Times New Roman"/>
                                <w:b/>
                                <w:sz w:val="24"/>
                                <w:szCs w:val="24"/>
                              </w:rPr>
                            </w:pPr>
                            <w:r w:rsidRPr="000548F9">
                              <w:rPr>
                                <w:rFonts w:ascii="Times New Roman" w:hAnsi="Times New Roman" w:cs="Times New Roman"/>
                                <w:b/>
                                <w:sz w:val="24"/>
                                <w:szCs w:val="24"/>
                              </w:rPr>
                              <w:t>Regional Conflict/Cooperation</w:t>
                            </w:r>
                          </w:p>
                        </w:txbxContent>
                      </v:textbox>
                      <w10:wrap type="square" anchorx="margin"/>
                    </v:shape>
                  </w:pict>
                </mc:Fallback>
              </mc:AlternateContent>
            </w:r>
            <w:r w:rsidR="004A07D4" w:rsidRPr="0027226C">
              <w:rPr>
                <w:rFonts w:eastAsia="Calibri"/>
                <w:noProof/>
              </w:rPr>
              <mc:AlternateContent>
                <mc:Choice Requires="wps">
                  <w:drawing>
                    <wp:anchor distT="0" distB="0" distL="114300" distR="114300" simplePos="0" relativeHeight="251666432" behindDoc="0" locked="0" layoutInCell="1" allowOverlap="1" wp14:anchorId="336194B1" wp14:editId="41921B13">
                      <wp:simplePos x="0" y="0"/>
                      <wp:positionH relativeFrom="margin">
                        <wp:posOffset>-6350</wp:posOffset>
                      </wp:positionH>
                      <wp:positionV relativeFrom="paragraph">
                        <wp:posOffset>1019810</wp:posOffset>
                      </wp:positionV>
                      <wp:extent cx="2174875" cy="102552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174875" cy="1025525"/>
                              </a:xfrm>
                              <a:prstGeom prst="rect">
                                <a:avLst/>
                              </a:prstGeom>
                              <a:noFill/>
                              <a:ln>
                                <a:noFill/>
                              </a:ln>
                              <a:effectLst/>
                            </wps:spPr>
                            <wps:txbx>
                              <w:txbxContent>
                                <w:p w14:paraId="70207DF4" w14:textId="77777777" w:rsidR="00C52205" w:rsidRPr="000548F9" w:rsidRDefault="00C52205" w:rsidP="004A07D4">
                                  <w:pPr>
                                    <w:spacing w:after="0"/>
                                    <w:rPr>
                                      <w:rFonts w:ascii="Times New Roman" w:hAnsi="Times New Roman" w:cs="Times New Roman"/>
                                      <w:b/>
                                      <w:sz w:val="24"/>
                                      <w:szCs w:val="24"/>
                                    </w:rPr>
                                  </w:pPr>
                                  <w:r w:rsidRPr="000548F9">
                                    <w:rPr>
                                      <w:rFonts w:ascii="Times New Roman" w:hAnsi="Times New Roman" w:cs="Times New Roman"/>
                                      <w:b/>
                                      <w:sz w:val="24"/>
                                      <w:szCs w:val="24"/>
                                    </w:rPr>
                                    <w:t>Regional Characteristics</w:t>
                                  </w:r>
                                </w:p>
                                <w:p w14:paraId="298CE910" w14:textId="77777777" w:rsidR="00C52205" w:rsidRPr="0027226C" w:rsidRDefault="00C52205" w:rsidP="004A07D4">
                                  <w:pPr>
                                    <w:pStyle w:val="ListParagraph1"/>
                                    <w:numPr>
                                      <w:ilvl w:val="0"/>
                                      <w:numId w:val="1"/>
                                    </w:numPr>
                                  </w:pPr>
                                  <w:r w:rsidRPr="0027226C">
                                    <w:t>Fault Lines</w:t>
                                  </w:r>
                                </w:p>
                                <w:p w14:paraId="1DD5C230" w14:textId="77777777" w:rsidR="00C52205" w:rsidRPr="0027226C" w:rsidRDefault="00C52205" w:rsidP="004A07D4">
                                  <w:pPr>
                                    <w:pStyle w:val="ListParagraph1"/>
                                    <w:numPr>
                                      <w:ilvl w:val="0"/>
                                      <w:numId w:val="1"/>
                                    </w:numPr>
                                  </w:pPr>
                                  <w:r w:rsidRPr="0027226C">
                                    <w:t>Pacifying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36194B1" id="Text Box 29" o:spid="_x0000_s1027" type="#_x0000_t202" style="position:absolute;margin-left:-.5pt;margin-top:80.3pt;width:171.25pt;height:80.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" filled="f" stroked="f">
                      <v:textbox>
                        <w:txbxContent>
                          <w:p w14:paraId="70207DF4" w14:textId="77777777" w:rsidR="00C52205" w:rsidRPr="000548F9" w:rsidRDefault="00C52205" w:rsidP="004A07D4">
                            <w:pPr>
                              <w:spacing w:after="0"/>
                              <w:rPr>
                                <w:rFonts w:ascii="Times New Roman" w:hAnsi="Times New Roman" w:cs="Times New Roman"/>
                                <w:b/>
                                <w:sz w:val="24"/>
                                <w:szCs w:val="24"/>
                              </w:rPr>
                            </w:pPr>
                            <w:r w:rsidRPr="000548F9">
                              <w:rPr>
                                <w:rFonts w:ascii="Times New Roman" w:hAnsi="Times New Roman" w:cs="Times New Roman"/>
                                <w:b/>
                                <w:sz w:val="24"/>
                                <w:szCs w:val="24"/>
                              </w:rPr>
                              <w:t>Regional Characteristics</w:t>
                            </w:r>
                          </w:p>
                          <w:p w14:paraId="298CE910" w14:textId="77777777" w:rsidR="00C52205" w:rsidRPr="0027226C" w:rsidRDefault="00C52205" w:rsidP="004A07D4">
                            <w:pPr>
                              <w:pStyle w:val="ListParagraph1"/>
                              <w:numPr>
                                <w:ilvl w:val="0"/>
                                <w:numId w:val="1"/>
                              </w:numPr>
                            </w:pPr>
                            <w:r w:rsidRPr="0027226C">
                              <w:t>Fault Lines</w:t>
                            </w:r>
                          </w:p>
                          <w:p w14:paraId="1DD5C230" w14:textId="77777777" w:rsidR="00C52205" w:rsidRPr="0027226C" w:rsidRDefault="00C52205" w:rsidP="004A07D4">
                            <w:pPr>
                              <w:pStyle w:val="ListParagraph1"/>
                              <w:numPr>
                                <w:ilvl w:val="0"/>
                                <w:numId w:val="1"/>
                              </w:numPr>
                            </w:pPr>
                            <w:r w:rsidRPr="0027226C">
                              <w:t>Pacifying Conditions</w:t>
                            </w:r>
                          </w:p>
                        </w:txbxContent>
                      </v:textbox>
                      <w10:wrap type="square" anchorx="margin"/>
                    </v:shape>
                  </w:pict>
                </mc:Fallback>
              </mc:AlternateContent>
            </w:r>
            <w:r w:rsidR="004A07D4" w:rsidRPr="0027226C">
              <w:rPr>
                <w:rFonts w:eastAsia="Calibri"/>
                <w:noProof/>
              </w:rPr>
              <mc:AlternateContent>
                <mc:Choice Requires="wps">
                  <w:drawing>
                    <wp:anchor distT="0" distB="0" distL="114300" distR="114300" simplePos="0" relativeHeight="251667456" behindDoc="0" locked="0" layoutInCell="1" allowOverlap="1" wp14:anchorId="1D257A67" wp14:editId="41D5745F">
                      <wp:simplePos x="0" y="0"/>
                      <wp:positionH relativeFrom="margin">
                        <wp:posOffset>3350260</wp:posOffset>
                      </wp:positionH>
                      <wp:positionV relativeFrom="paragraph">
                        <wp:posOffset>1019810</wp:posOffset>
                      </wp:positionV>
                      <wp:extent cx="2515235" cy="102552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515235" cy="1025525"/>
                              </a:xfrm>
                              <a:prstGeom prst="rect">
                                <a:avLst/>
                              </a:prstGeom>
                              <a:noFill/>
                              <a:ln>
                                <a:noFill/>
                              </a:ln>
                              <a:effectLst/>
                            </wps:spPr>
                            <wps:txbx>
                              <w:txbxContent>
                                <w:p w14:paraId="61A7194A" w14:textId="77777777" w:rsidR="00C52205" w:rsidRPr="000548F9" w:rsidRDefault="00C52205" w:rsidP="004A07D4">
                                  <w:pPr>
                                    <w:spacing w:after="0"/>
                                    <w:rPr>
                                      <w:rFonts w:ascii="Times New Roman" w:hAnsi="Times New Roman" w:cs="Times New Roman"/>
                                      <w:b/>
                                      <w:sz w:val="24"/>
                                      <w:szCs w:val="24"/>
                                    </w:rPr>
                                  </w:pPr>
                                  <w:r w:rsidRPr="000548F9">
                                    <w:rPr>
                                      <w:rFonts w:ascii="Times New Roman" w:hAnsi="Times New Roman" w:cs="Times New Roman"/>
                                      <w:b/>
                                      <w:sz w:val="24"/>
                                      <w:szCs w:val="24"/>
                                    </w:rPr>
                                    <w:t>Permeability to Global Conditions</w:t>
                                  </w:r>
                                </w:p>
                                <w:p w14:paraId="62820D96" w14:textId="77777777" w:rsidR="00C52205" w:rsidRPr="0027226C" w:rsidRDefault="00C52205" w:rsidP="004A07D4">
                                  <w:pPr>
                                    <w:pStyle w:val="ListParagraph1"/>
                                    <w:numPr>
                                      <w:ilvl w:val="0"/>
                                      <w:numId w:val="2"/>
                                    </w:numPr>
                                  </w:pPr>
                                  <w:r w:rsidRPr="0027226C">
                                    <w:t>Structural Global Conflicts</w:t>
                                  </w:r>
                                </w:p>
                                <w:p w14:paraId="32502E4D" w14:textId="77777777" w:rsidR="00C52205" w:rsidRPr="0027226C" w:rsidRDefault="00C52205" w:rsidP="004A07D4">
                                  <w:pPr>
                                    <w:pStyle w:val="ListParagraph1"/>
                                    <w:numPr>
                                      <w:ilvl w:val="0"/>
                                      <w:numId w:val="2"/>
                                    </w:numPr>
                                  </w:pPr>
                                  <w:r w:rsidRPr="0027226C">
                                    <w:t>External Intrusion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D257A67" id="Text Box 30" o:spid="_x0000_s1028" type="#_x0000_t202" style="position:absolute;margin-left:263.8pt;margin-top:80.3pt;width:198.05pt;height:80.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" filled="f" stroked="f">
                      <v:textbox>
                        <w:txbxContent>
                          <w:p w14:paraId="61A7194A" w14:textId="77777777" w:rsidR="00C52205" w:rsidRPr="000548F9" w:rsidRDefault="00C52205" w:rsidP="004A07D4">
                            <w:pPr>
                              <w:spacing w:after="0"/>
                              <w:rPr>
                                <w:rFonts w:ascii="Times New Roman" w:hAnsi="Times New Roman" w:cs="Times New Roman"/>
                                <w:b/>
                                <w:sz w:val="24"/>
                                <w:szCs w:val="24"/>
                              </w:rPr>
                            </w:pPr>
                            <w:r w:rsidRPr="000548F9">
                              <w:rPr>
                                <w:rFonts w:ascii="Times New Roman" w:hAnsi="Times New Roman" w:cs="Times New Roman"/>
                                <w:b/>
                                <w:sz w:val="24"/>
                                <w:szCs w:val="24"/>
                              </w:rPr>
                              <w:t>Permeability to Global Conditions</w:t>
                            </w:r>
                          </w:p>
                          <w:p w14:paraId="62820D96" w14:textId="77777777" w:rsidR="00C52205" w:rsidRPr="0027226C" w:rsidRDefault="00C52205" w:rsidP="004A07D4">
                            <w:pPr>
                              <w:pStyle w:val="ListParagraph1"/>
                              <w:numPr>
                                <w:ilvl w:val="0"/>
                                <w:numId w:val="2"/>
                              </w:numPr>
                            </w:pPr>
                            <w:r w:rsidRPr="0027226C">
                              <w:t>Structural Global Conflicts</w:t>
                            </w:r>
                          </w:p>
                          <w:p w14:paraId="32502E4D" w14:textId="77777777" w:rsidR="00C52205" w:rsidRPr="0027226C" w:rsidRDefault="00C52205" w:rsidP="004A07D4">
                            <w:pPr>
                              <w:pStyle w:val="ListParagraph1"/>
                              <w:numPr>
                                <w:ilvl w:val="0"/>
                                <w:numId w:val="2"/>
                              </w:numPr>
                            </w:pPr>
                            <w:r w:rsidRPr="0027226C">
                              <w:t>External Intrusion</w:t>
                            </w:r>
                          </w:p>
                        </w:txbxContent>
                      </v:textbox>
                      <w10:wrap type="square" anchorx="margin"/>
                    </v:shape>
                  </w:pict>
                </mc:Fallback>
              </mc:AlternateContent>
            </w:r>
            <w:r w:rsidR="004A07D4" w:rsidRPr="0027226C">
              <w:rPr>
                <w:rFonts w:eastAsia="Calibri"/>
                <w:noProof/>
              </w:rPr>
              <mc:AlternateContent>
                <mc:Choice Requires="wps">
                  <w:drawing>
                    <wp:anchor distT="0" distB="0" distL="114300" distR="114300" simplePos="0" relativeHeight="251668480" behindDoc="0" locked="0" layoutInCell="1" allowOverlap="1" wp14:anchorId="34DE27C5" wp14:editId="49A88071">
                      <wp:simplePos x="0" y="0"/>
                      <wp:positionH relativeFrom="margin">
                        <wp:posOffset>1424940</wp:posOffset>
                      </wp:positionH>
                      <wp:positionV relativeFrom="paragraph">
                        <wp:posOffset>2505710</wp:posOffset>
                      </wp:positionV>
                      <wp:extent cx="3081655" cy="102552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081655" cy="1025525"/>
                              </a:xfrm>
                              <a:prstGeom prst="rect">
                                <a:avLst/>
                              </a:prstGeom>
                              <a:noFill/>
                              <a:ln>
                                <a:noFill/>
                              </a:ln>
                              <a:effectLst/>
                            </wps:spPr>
                            <wps:txbx>
                              <w:txbxContent>
                                <w:p w14:paraId="14F7C582" w14:textId="77777777" w:rsidR="00C52205" w:rsidRPr="000548F9" w:rsidRDefault="00C52205" w:rsidP="004A07D4">
                                  <w:pPr>
                                    <w:spacing w:after="0"/>
                                    <w:rPr>
                                      <w:rFonts w:ascii="Times New Roman" w:hAnsi="Times New Roman" w:cs="Times New Roman"/>
                                      <w:b/>
                                      <w:sz w:val="24"/>
                                      <w:szCs w:val="24"/>
                                    </w:rPr>
                                  </w:pPr>
                                  <w:r w:rsidRPr="000548F9">
                                    <w:rPr>
                                      <w:rFonts w:ascii="Times New Roman" w:hAnsi="Times New Roman" w:cs="Times New Roman"/>
                                      <w:b/>
                                      <w:sz w:val="24"/>
                                      <w:szCs w:val="24"/>
                                    </w:rPr>
                                    <w:t>Hierarchical Condition</w:t>
                                  </w:r>
                                </w:p>
                                <w:p w14:paraId="0060BF7B" w14:textId="77777777" w:rsidR="00C52205" w:rsidRPr="0027226C" w:rsidRDefault="00C52205" w:rsidP="004A07D4">
                                  <w:pPr>
                                    <w:pStyle w:val="ListParagraph1"/>
                                    <w:numPr>
                                      <w:ilvl w:val="0"/>
                                      <w:numId w:val="2"/>
                                    </w:numPr>
                                  </w:pPr>
                                  <w:r w:rsidRPr="0027226C">
                                    <w:t>Presence/Absence of Hierarchy</w:t>
                                  </w:r>
                                </w:p>
                                <w:p w14:paraId="1A9E8E74" w14:textId="77777777" w:rsidR="00C52205" w:rsidRPr="00FF54AA" w:rsidRDefault="00C52205" w:rsidP="004A07D4">
                                  <w:pPr>
                                    <w:pStyle w:val="ListParagraph1"/>
                                    <w:numPr>
                                      <w:ilvl w:val="0"/>
                                      <w:numId w:val="2"/>
                                    </w:numPr>
                                  </w:pPr>
                                  <w:r w:rsidRPr="00FF54AA">
                                    <w:t>Presence of Major vs. Regional 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4DE27C5" id="Text Box 31" o:spid="_x0000_s1029" type="#_x0000_t202" style="position:absolute;margin-left:112.2pt;margin-top:197.3pt;width:242.65pt;height:8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" filled="f" stroked="f">
                      <v:textbox>
                        <w:txbxContent>
                          <w:p w14:paraId="14F7C582" w14:textId="77777777" w:rsidR="00C52205" w:rsidRPr="000548F9" w:rsidRDefault="00C52205" w:rsidP="004A07D4">
                            <w:pPr>
                              <w:spacing w:after="0"/>
                              <w:rPr>
                                <w:rFonts w:ascii="Times New Roman" w:hAnsi="Times New Roman" w:cs="Times New Roman"/>
                                <w:b/>
                                <w:sz w:val="24"/>
                                <w:szCs w:val="24"/>
                              </w:rPr>
                            </w:pPr>
                            <w:r w:rsidRPr="000548F9">
                              <w:rPr>
                                <w:rFonts w:ascii="Times New Roman" w:hAnsi="Times New Roman" w:cs="Times New Roman"/>
                                <w:b/>
                                <w:sz w:val="24"/>
                                <w:szCs w:val="24"/>
                              </w:rPr>
                              <w:t>Hierarchical Condition</w:t>
                            </w:r>
                          </w:p>
                          <w:p w14:paraId="0060BF7B" w14:textId="77777777" w:rsidR="00C52205" w:rsidRPr="0027226C" w:rsidRDefault="00C52205" w:rsidP="004A07D4">
                            <w:pPr>
                              <w:pStyle w:val="ListParagraph1"/>
                              <w:numPr>
                                <w:ilvl w:val="0"/>
                                <w:numId w:val="2"/>
                              </w:numPr>
                            </w:pPr>
                            <w:r w:rsidRPr="0027226C">
                              <w:t>Presence/Absence of Hierarchy</w:t>
                            </w:r>
                          </w:p>
                          <w:p w14:paraId="1A9E8E74" w14:textId="77777777" w:rsidR="00C52205" w:rsidRPr="00FF54AA" w:rsidRDefault="00C52205" w:rsidP="004A07D4">
                            <w:pPr>
                              <w:pStyle w:val="ListParagraph1"/>
                              <w:numPr>
                                <w:ilvl w:val="0"/>
                                <w:numId w:val="2"/>
                              </w:numPr>
                            </w:pPr>
                            <w:r w:rsidRPr="00FF54AA">
                              <w:t>Presence of Major vs. Regional Power</w:t>
                            </w:r>
                          </w:p>
                        </w:txbxContent>
                      </v:textbox>
                      <w10:wrap type="square" anchorx="margin"/>
                    </v:shape>
                  </w:pict>
                </mc:Fallback>
              </mc:AlternateContent>
            </w:r>
          </w:p>
        </w:tc>
      </w:tr>
    </w:tbl>
    <w:p w14:paraId="2EF42B93" w14:textId="77777777" w:rsidR="004A07D4" w:rsidRDefault="004A07D4" w:rsidP="00CC223E">
      <w:pPr>
        <w:pStyle w:val="NoSpacing"/>
        <w:spacing w:line="480" w:lineRule="auto"/>
        <w:rPr>
          <w:rFonts w:ascii="Times New Roman" w:hAnsi="Times New Roman" w:cs="Times New Roman"/>
          <w:sz w:val="24"/>
          <w:szCs w:val="24"/>
        </w:rPr>
      </w:pPr>
    </w:p>
    <w:p w14:paraId="485F88F0" w14:textId="3E0B9B9F" w:rsidR="00086ADE" w:rsidRDefault="00086ADE" w:rsidP="00086ADE">
      <w:pPr>
        <w:spacing w:line="480" w:lineRule="auto"/>
        <w:ind w:right="-360"/>
        <w:rPr>
          <w:rFonts w:ascii="Times New Roman" w:hAnsi="Times New Roman" w:cs="Times New Roman"/>
          <w:sz w:val="24"/>
          <w:szCs w:val="24"/>
        </w:rPr>
      </w:pPr>
      <w:r>
        <w:rPr>
          <w:rFonts w:ascii="Times New Roman" w:hAnsi="Times New Roman" w:cs="Times New Roman"/>
          <w:sz w:val="24"/>
          <w:szCs w:val="24"/>
        </w:rPr>
        <w:tab/>
        <w:t>We have discussed this framework elsewhere (Volgy et al. 2017</w:t>
      </w:r>
      <w:r w:rsidR="005068C4">
        <w:rPr>
          <w:rFonts w:ascii="Times New Roman" w:hAnsi="Times New Roman" w:cs="Times New Roman"/>
          <w:sz w:val="24"/>
          <w:szCs w:val="24"/>
        </w:rPr>
        <w:t>b</w:t>
      </w:r>
      <w:r>
        <w:rPr>
          <w:rFonts w:ascii="Times New Roman" w:hAnsi="Times New Roman" w:cs="Times New Roman"/>
          <w:sz w:val="24"/>
          <w:szCs w:val="24"/>
        </w:rPr>
        <w:t xml:space="preserve">); here we briefly summarize its dimensions. We contend that three large sets of forces account for </w:t>
      </w:r>
      <w:r w:rsidR="005068C4">
        <w:rPr>
          <w:rFonts w:ascii="Times New Roman" w:hAnsi="Times New Roman" w:cs="Times New Roman"/>
          <w:sz w:val="24"/>
          <w:szCs w:val="24"/>
        </w:rPr>
        <w:t xml:space="preserve">how much interstate conflict </w:t>
      </w:r>
      <w:r w:rsidR="009E17FF">
        <w:rPr>
          <w:rFonts w:ascii="Times New Roman" w:hAnsi="Times New Roman" w:cs="Times New Roman"/>
          <w:sz w:val="24"/>
          <w:szCs w:val="24"/>
        </w:rPr>
        <w:t>exists</w:t>
      </w:r>
      <w:r w:rsidR="005068C4">
        <w:rPr>
          <w:rFonts w:ascii="Times New Roman" w:hAnsi="Times New Roman" w:cs="Times New Roman"/>
          <w:sz w:val="24"/>
          <w:szCs w:val="24"/>
        </w:rPr>
        <w:t xml:space="preserve"> in a region.</w:t>
      </w:r>
      <w:r>
        <w:rPr>
          <w:rFonts w:ascii="Times New Roman" w:hAnsi="Times New Roman" w:cs="Times New Roman"/>
          <w:sz w:val="24"/>
          <w:szCs w:val="24"/>
        </w:rPr>
        <w:t xml:space="preserve"> The first is the argument that regions vary with respect to certain characteristics internal to the region, conditions that either exacerbate conflicts or encourage cooperation between states. </w:t>
      </w:r>
      <w:r w:rsidRPr="00086ADE">
        <w:rPr>
          <w:rFonts w:ascii="Times New Roman" w:hAnsi="Times New Roman" w:cs="Times New Roman"/>
          <w:i/>
          <w:sz w:val="24"/>
          <w:szCs w:val="24"/>
        </w:rPr>
        <w:t>Fault lines</w:t>
      </w:r>
      <w:r>
        <w:rPr>
          <w:rFonts w:ascii="Times New Roman" w:hAnsi="Times New Roman" w:cs="Times New Roman"/>
          <w:i/>
          <w:sz w:val="24"/>
          <w:szCs w:val="24"/>
        </w:rPr>
        <w:t xml:space="preserve"> </w:t>
      </w:r>
      <w:r>
        <w:rPr>
          <w:rFonts w:ascii="Times New Roman" w:hAnsi="Times New Roman" w:cs="Times New Roman"/>
          <w:sz w:val="24"/>
          <w:szCs w:val="24"/>
        </w:rPr>
        <w:t>refer to conditions</w:t>
      </w:r>
      <w:r w:rsidR="00D705E0">
        <w:rPr>
          <w:rFonts w:ascii="Times New Roman" w:hAnsi="Times New Roman" w:cs="Times New Roman"/>
          <w:sz w:val="24"/>
          <w:szCs w:val="24"/>
        </w:rPr>
        <w:t xml:space="preserve">—demonstrated </w:t>
      </w:r>
      <w:r>
        <w:rPr>
          <w:rFonts w:ascii="Times New Roman" w:hAnsi="Times New Roman" w:cs="Times New Roman"/>
          <w:sz w:val="24"/>
          <w:szCs w:val="24"/>
        </w:rPr>
        <w:t xml:space="preserve">empirically </w:t>
      </w:r>
      <w:r w:rsidR="00B1605F">
        <w:rPr>
          <w:rFonts w:ascii="Times New Roman" w:hAnsi="Times New Roman" w:cs="Times New Roman"/>
          <w:sz w:val="24"/>
          <w:szCs w:val="24"/>
        </w:rPr>
        <w:t xml:space="preserve">by </w:t>
      </w:r>
      <w:r w:rsidR="00D705E0">
        <w:rPr>
          <w:rFonts w:ascii="Times New Roman" w:hAnsi="Times New Roman" w:cs="Times New Roman"/>
          <w:sz w:val="24"/>
          <w:szCs w:val="24"/>
        </w:rPr>
        <w:t xml:space="preserve">extant </w:t>
      </w:r>
      <w:r w:rsidR="00B1605F">
        <w:rPr>
          <w:rFonts w:ascii="Times New Roman" w:hAnsi="Times New Roman" w:cs="Times New Roman"/>
          <w:sz w:val="24"/>
          <w:szCs w:val="24"/>
        </w:rPr>
        <w:t xml:space="preserve">research </w:t>
      </w:r>
      <w:r w:rsidR="00C75418">
        <w:rPr>
          <w:rFonts w:ascii="Times New Roman" w:hAnsi="Times New Roman" w:cs="Times New Roman"/>
          <w:sz w:val="24"/>
          <w:szCs w:val="24"/>
        </w:rPr>
        <w:t>focusing</w:t>
      </w:r>
      <w:r w:rsidR="00B1605F">
        <w:rPr>
          <w:rFonts w:ascii="Times New Roman" w:hAnsi="Times New Roman" w:cs="Times New Roman"/>
          <w:sz w:val="24"/>
          <w:szCs w:val="24"/>
        </w:rPr>
        <w:t xml:space="preserve"> on dyadic conflicts</w:t>
      </w:r>
      <w:r w:rsidR="00D705E0">
        <w:rPr>
          <w:rFonts w:ascii="Times New Roman" w:hAnsi="Times New Roman" w:cs="Times New Roman"/>
          <w:sz w:val="24"/>
          <w:szCs w:val="24"/>
        </w:rPr>
        <w:t xml:space="preserve">—that </w:t>
      </w:r>
      <w:r w:rsidR="00B1605F">
        <w:rPr>
          <w:rFonts w:ascii="Times New Roman" w:hAnsi="Times New Roman" w:cs="Times New Roman"/>
          <w:sz w:val="24"/>
          <w:szCs w:val="24"/>
        </w:rPr>
        <w:t xml:space="preserve">exacerbate conflict. Prime candidates include: inter-state </w:t>
      </w:r>
      <w:r w:rsidR="00B1605F">
        <w:rPr>
          <w:rFonts w:ascii="Times New Roman" w:hAnsi="Times New Roman" w:cs="Times New Roman"/>
          <w:sz w:val="24"/>
          <w:szCs w:val="24"/>
        </w:rPr>
        <w:lastRenderedPageBreak/>
        <w:t>rivalries</w:t>
      </w:r>
      <w:r w:rsidR="00A86788">
        <w:rPr>
          <w:rFonts w:ascii="Times New Roman" w:hAnsi="Times New Roman" w:cs="Times New Roman"/>
          <w:sz w:val="24"/>
          <w:szCs w:val="24"/>
        </w:rPr>
        <w:t>;</w:t>
      </w:r>
      <w:r w:rsidR="00B1605F">
        <w:rPr>
          <w:rFonts w:ascii="Times New Roman" w:hAnsi="Times New Roman" w:cs="Times New Roman"/>
          <w:sz w:val="24"/>
          <w:szCs w:val="24"/>
        </w:rPr>
        <w:t xml:space="preserve"> territorial claims</w:t>
      </w:r>
      <w:r w:rsidR="00A86788">
        <w:rPr>
          <w:rFonts w:ascii="Times New Roman" w:hAnsi="Times New Roman" w:cs="Times New Roman"/>
          <w:sz w:val="24"/>
          <w:szCs w:val="24"/>
        </w:rPr>
        <w:t>;</w:t>
      </w:r>
      <w:r w:rsidR="00B1605F">
        <w:rPr>
          <w:rFonts w:ascii="Times New Roman" w:hAnsi="Times New Roman" w:cs="Times New Roman"/>
          <w:sz w:val="24"/>
          <w:szCs w:val="24"/>
        </w:rPr>
        <w:t xml:space="preserve"> and civil wars</w:t>
      </w:r>
      <w:r w:rsidR="009E17FF">
        <w:rPr>
          <w:rFonts w:ascii="Times New Roman" w:hAnsi="Times New Roman" w:cs="Times New Roman"/>
          <w:sz w:val="24"/>
          <w:szCs w:val="24"/>
        </w:rPr>
        <w:t>, which</w:t>
      </w:r>
      <w:r w:rsidR="00B1605F">
        <w:rPr>
          <w:rFonts w:ascii="Times New Roman" w:hAnsi="Times New Roman" w:cs="Times New Roman"/>
          <w:sz w:val="24"/>
          <w:szCs w:val="24"/>
        </w:rPr>
        <w:t xml:space="preserve"> may spread across the region.</w:t>
      </w:r>
      <w:r w:rsidR="00B1605F">
        <w:rPr>
          <w:rStyle w:val="FootnoteReference"/>
          <w:rFonts w:ascii="Times New Roman" w:hAnsi="Times New Roman" w:cs="Times New Roman"/>
          <w:sz w:val="24"/>
          <w:szCs w:val="24"/>
        </w:rPr>
        <w:footnoteReference w:id="2"/>
      </w:r>
      <w:r w:rsidR="00B1605F">
        <w:rPr>
          <w:rFonts w:ascii="Times New Roman" w:hAnsi="Times New Roman" w:cs="Times New Roman"/>
          <w:sz w:val="24"/>
          <w:szCs w:val="24"/>
        </w:rPr>
        <w:t xml:space="preserve"> </w:t>
      </w:r>
      <w:r w:rsidR="007A3753">
        <w:rPr>
          <w:rFonts w:ascii="Times New Roman" w:hAnsi="Times New Roman" w:cs="Times New Roman"/>
          <w:sz w:val="24"/>
          <w:szCs w:val="24"/>
        </w:rPr>
        <w:t>The more these conditions exist in a region, the more likely the region will experience substantial conflict.</w:t>
      </w:r>
    </w:p>
    <w:p w14:paraId="14152E04" w14:textId="0FC60EC2" w:rsidR="007A3753" w:rsidRDefault="007A3753" w:rsidP="00086ADE">
      <w:pPr>
        <w:spacing w:line="480" w:lineRule="auto"/>
        <w:ind w:right="-360"/>
        <w:rPr>
          <w:rFonts w:ascii="Times New Roman" w:hAnsi="Times New Roman" w:cs="Times New Roman"/>
          <w:sz w:val="24"/>
          <w:szCs w:val="24"/>
        </w:rPr>
      </w:pPr>
      <w:r>
        <w:rPr>
          <w:rFonts w:ascii="Times New Roman" w:hAnsi="Times New Roman" w:cs="Times New Roman"/>
          <w:sz w:val="24"/>
          <w:szCs w:val="24"/>
        </w:rPr>
        <w:tab/>
        <w:t xml:space="preserve">Additionally, regions vary with respect to a variety of </w:t>
      </w:r>
      <w:r w:rsidRPr="007A3753">
        <w:rPr>
          <w:rFonts w:ascii="Times New Roman" w:hAnsi="Times New Roman" w:cs="Times New Roman"/>
          <w:i/>
          <w:sz w:val="24"/>
          <w:szCs w:val="24"/>
        </w:rPr>
        <w:t>pacifying conditions</w:t>
      </w:r>
      <w:r>
        <w:rPr>
          <w:rFonts w:ascii="Times New Roman" w:hAnsi="Times New Roman" w:cs="Times New Roman"/>
          <w:sz w:val="24"/>
          <w:szCs w:val="24"/>
        </w:rPr>
        <w:t xml:space="preserve">, conditions likely </w:t>
      </w:r>
      <w:r w:rsidR="009E18D7">
        <w:rPr>
          <w:rFonts w:ascii="Times New Roman" w:hAnsi="Times New Roman" w:cs="Times New Roman"/>
          <w:sz w:val="24"/>
          <w:szCs w:val="24"/>
        </w:rPr>
        <w:t xml:space="preserve">to </w:t>
      </w:r>
      <w:r>
        <w:rPr>
          <w:rFonts w:ascii="Times New Roman" w:hAnsi="Times New Roman" w:cs="Times New Roman"/>
          <w:sz w:val="24"/>
          <w:szCs w:val="24"/>
        </w:rPr>
        <w:t xml:space="preserve">encourage cooperation between states in the region. Again based on previous research, we suggest three such conditions: intra-regional trade dependence; the extent to which regional states are democracies; and the extent to which </w:t>
      </w:r>
      <w:r w:rsidR="00C75418">
        <w:rPr>
          <w:rFonts w:ascii="Times New Roman" w:hAnsi="Times New Roman" w:cs="Times New Roman"/>
          <w:sz w:val="24"/>
          <w:szCs w:val="24"/>
        </w:rPr>
        <w:t xml:space="preserve">regional states </w:t>
      </w:r>
      <w:r>
        <w:rPr>
          <w:rFonts w:ascii="Times New Roman" w:hAnsi="Times New Roman" w:cs="Times New Roman"/>
          <w:sz w:val="24"/>
          <w:szCs w:val="24"/>
        </w:rPr>
        <w:t xml:space="preserve">share membership in intergovernmental organizations (IGOs). None of these three factors should </w:t>
      </w:r>
      <w:r w:rsidR="00FC1F81">
        <w:rPr>
          <w:rFonts w:ascii="Times New Roman" w:hAnsi="Times New Roman" w:cs="Times New Roman"/>
          <w:sz w:val="24"/>
          <w:szCs w:val="24"/>
        </w:rPr>
        <w:t>be surprising</w:t>
      </w:r>
      <w:r>
        <w:rPr>
          <w:rFonts w:ascii="Times New Roman" w:hAnsi="Times New Roman" w:cs="Times New Roman"/>
          <w:sz w:val="24"/>
          <w:szCs w:val="24"/>
        </w:rPr>
        <w:t>; the literature on the Kantian peace</w:t>
      </w:r>
      <w:r w:rsidR="001D09A8">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is not uncontroversial, but </w:t>
      </w:r>
      <w:r w:rsidR="00A873C6">
        <w:rPr>
          <w:rFonts w:ascii="Times New Roman" w:hAnsi="Times New Roman" w:cs="Times New Roman"/>
          <w:sz w:val="24"/>
          <w:szCs w:val="24"/>
        </w:rPr>
        <w:t xml:space="preserve">much of the evidence indicates </w:t>
      </w:r>
      <w:r w:rsidR="009D0D77">
        <w:rPr>
          <w:rFonts w:ascii="Times New Roman" w:hAnsi="Times New Roman" w:cs="Times New Roman"/>
          <w:sz w:val="24"/>
          <w:szCs w:val="24"/>
        </w:rPr>
        <w:t xml:space="preserve">that </w:t>
      </w:r>
      <w:r w:rsidR="00A873C6">
        <w:rPr>
          <w:rFonts w:ascii="Times New Roman" w:hAnsi="Times New Roman" w:cs="Times New Roman"/>
          <w:sz w:val="24"/>
          <w:szCs w:val="24"/>
        </w:rPr>
        <w:t>these forces encourage cooperation between states.</w:t>
      </w:r>
    </w:p>
    <w:p w14:paraId="0B93063B" w14:textId="3DCEF271" w:rsidR="00A873C6" w:rsidRDefault="00A873C6" w:rsidP="00086ADE">
      <w:pPr>
        <w:spacing w:line="480" w:lineRule="auto"/>
        <w:ind w:right="-360"/>
        <w:rPr>
          <w:rFonts w:ascii="Times New Roman" w:hAnsi="Times New Roman" w:cs="Times New Roman"/>
          <w:sz w:val="24"/>
          <w:szCs w:val="24"/>
        </w:rPr>
      </w:pPr>
      <w:r>
        <w:rPr>
          <w:rFonts w:ascii="Times New Roman" w:hAnsi="Times New Roman" w:cs="Times New Roman"/>
          <w:sz w:val="24"/>
          <w:szCs w:val="24"/>
        </w:rPr>
        <w:tab/>
        <w:t>There is not much</w:t>
      </w:r>
      <w:r w:rsidR="006F4C65">
        <w:rPr>
          <w:rFonts w:ascii="Times New Roman" w:hAnsi="Times New Roman" w:cs="Times New Roman"/>
          <w:sz w:val="24"/>
          <w:szCs w:val="24"/>
        </w:rPr>
        <w:t xml:space="preserve"> originality</w:t>
      </w:r>
      <w:r>
        <w:rPr>
          <w:rFonts w:ascii="Times New Roman" w:hAnsi="Times New Roman" w:cs="Times New Roman"/>
          <w:sz w:val="24"/>
          <w:szCs w:val="24"/>
        </w:rPr>
        <w:t xml:space="preserve"> in </w:t>
      </w:r>
      <w:r w:rsidR="001D09A8">
        <w:rPr>
          <w:rFonts w:ascii="Times New Roman" w:hAnsi="Times New Roman" w:cs="Times New Roman"/>
          <w:sz w:val="24"/>
          <w:szCs w:val="24"/>
        </w:rPr>
        <w:t xml:space="preserve">our specifications of </w:t>
      </w:r>
      <w:r>
        <w:rPr>
          <w:rFonts w:ascii="Times New Roman" w:hAnsi="Times New Roman" w:cs="Times New Roman"/>
          <w:sz w:val="24"/>
          <w:szCs w:val="24"/>
        </w:rPr>
        <w:t>either fault lines or pacifying conditions for regions; the</w:t>
      </w:r>
      <w:r w:rsidR="001B598C">
        <w:rPr>
          <w:rFonts w:ascii="Times New Roman" w:hAnsi="Times New Roman" w:cs="Times New Roman"/>
          <w:sz w:val="24"/>
          <w:szCs w:val="24"/>
        </w:rPr>
        <w:t>y</w:t>
      </w:r>
      <w:r>
        <w:rPr>
          <w:rFonts w:ascii="Times New Roman" w:hAnsi="Times New Roman" w:cs="Times New Roman"/>
          <w:sz w:val="24"/>
          <w:szCs w:val="24"/>
        </w:rPr>
        <w:t xml:space="preserve"> merely reflect extant scholarship on states and dyads. However, </w:t>
      </w:r>
      <w:r w:rsidR="006F4C65">
        <w:rPr>
          <w:rFonts w:ascii="Times New Roman" w:hAnsi="Times New Roman" w:cs="Times New Roman"/>
          <w:sz w:val="24"/>
          <w:szCs w:val="24"/>
        </w:rPr>
        <w:t xml:space="preserve">conceptualizing these conditions as regional characteristics is </w:t>
      </w:r>
      <w:r w:rsidR="009D0D77">
        <w:rPr>
          <w:rFonts w:ascii="Times New Roman" w:hAnsi="Times New Roman" w:cs="Times New Roman"/>
          <w:sz w:val="24"/>
          <w:szCs w:val="24"/>
        </w:rPr>
        <w:t xml:space="preserve">more </w:t>
      </w:r>
      <w:r w:rsidR="006F4C65">
        <w:rPr>
          <w:rFonts w:ascii="Times New Roman" w:hAnsi="Times New Roman" w:cs="Times New Roman"/>
          <w:sz w:val="24"/>
          <w:szCs w:val="24"/>
        </w:rPr>
        <w:t>novel and</w:t>
      </w:r>
      <w:r w:rsidR="001B598C">
        <w:rPr>
          <w:rFonts w:ascii="Times New Roman" w:hAnsi="Times New Roman" w:cs="Times New Roman"/>
          <w:sz w:val="24"/>
          <w:szCs w:val="24"/>
        </w:rPr>
        <w:t xml:space="preserve"> </w:t>
      </w:r>
      <w:r>
        <w:rPr>
          <w:rFonts w:ascii="Times New Roman" w:hAnsi="Times New Roman" w:cs="Times New Roman"/>
          <w:sz w:val="24"/>
          <w:szCs w:val="24"/>
        </w:rPr>
        <w:t>raises two important points. First, regions are not created equal. Some regions are endowed with substantial fault lines</w:t>
      </w:r>
      <w:r w:rsidR="00637C5B">
        <w:rPr>
          <w:rFonts w:ascii="Times New Roman" w:hAnsi="Times New Roman" w:cs="Times New Roman"/>
          <w:sz w:val="24"/>
          <w:szCs w:val="24"/>
        </w:rPr>
        <w:t xml:space="preserve"> (e.g., the Middle East)</w:t>
      </w:r>
      <w:r>
        <w:rPr>
          <w:rFonts w:ascii="Times New Roman" w:hAnsi="Times New Roman" w:cs="Times New Roman"/>
          <w:sz w:val="24"/>
          <w:szCs w:val="24"/>
        </w:rPr>
        <w:t>; other regions with ample pacifying conditions</w:t>
      </w:r>
      <w:r w:rsidR="00637C5B">
        <w:rPr>
          <w:rFonts w:ascii="Times New Roman" w:hAnsi="Times New Roman" w:cs="Times New Roman"/>
          <w:sz w:val="24"/>
          <w:szCs w:val="24"/>
        </w:rPr>
        <w:t xml:space="preserve"> (e.g., North America)</w:t>
      </w:r>
      <w:r>
        <w:rPr>
          <w:rFonts w:ascii="Times New Roman" w:hAnsi="Times New Roman" w:cs="Times New Roman"/>
          <w:sz w:val="24"/>
          <w:szCs w:val="24"/>
        </w:rPr>
        <w:t>. Managing relations in a r</w:t>
      </w:r>
      <w:r w:rsidR="001B598C">
        <w:rPr>
          <w:rFonts w:ascii="Times New Roman" w:hAnsi="Times New Roman" w:cs="Times New Roman"/>
          <w:sz w:val="24"/>
          <w:szCs w:val="24"/>
        </w:rPr>
        <w:t>egion riddled with fault lines is</w:t>
      </w:r>
      <w:r>
        <w:rPr>
          <w:rFonts w:ascii="Times New Roman" w:hAnsi="Times New Roman" w:cs="Times New Roman"/>
          <w:sz w:val="24"/>
          <w:szCs w:val="24"/>
        </w:rPr>
        <w:t xml:space="preserve"> fundamentally more difficult for </w:t>
      </w:r>
      <w:r w:rsidR="001B598C">
        <w:rPr>
          <w:rFonts w:ascii="Times New Roman" w:hAnsi="Times New Roman" w:cs="Times New Roman"/>
          <w:sz w:val="24"/>
          <w:szCs w:val="24"/>
        </w:rPr>
        <w:t xml:space="preserve">foreign </w:t>
      </w:r>
      <w:r>
        <w:rPr>
          <w:rFonts w:ascii="Times New Roman" w:hAnsi="Times New Roman" w:cs="Times New Roman"/>
          <w:sz w:val="24"/>
          <w:szCs w:val="24"/>
        </w:rPr>
        <w:t>policymakers than for those who live in regions endowed with substantial pacifying conditions.</w:t>
      </w:r>
    </w:p>
    <w:p w14:paraId="2262B072" w14:textId="44732B50" w:rsidR="00A873C6" w:rsidRDefault="00A873C6" w:rsidP="00086ADE">
      <w:pPr>
        <w:spacing w:line="480" w:lineRule="auto"/>
        <w:ind w:right="-360"/>
        <w:rPr>
          <w:rFonts w:ascii="Times New Roman" w:hAnsi="Times New Roman" w:cs="Times New Roman"/>
          <w:sz w:val="24"/>
          <w:szCs w:val="24"/>
        </w:rPr>
      </w:pPr>
      <w:r>
        <w:rPr>
          <w:rFonts w:ascii="Times New Roman" w:hAnsi="Times New Roman" w:cs="Times New Roman"/>
          <w:sz w:val="24"/>
          <w:szCs w:val="24"/>
        </w:rPr>
        <w:tab/>
        <w:t xml:space="preserve">Second, </w:t>
      </w:r>
      <w:r w:rsidR="001E09DA">
        <w:rPr>
          <w:rFonts w:ascii="Times New Roman" w:hAnsi="Times New Roman" w:cs="Times New Roman"/>
          <w:sz w:val="24"/>
          <w:szCs w:val="24"/>
        </w:rPr>
        <w:t xml:space="preserve">our </w:t>
      </w:r>
      <w:r>
        <w:rPr>
          <w:rFonts w:ascii="Times New Roman" w:hAnsi="Times New Roman" w:cs="Times New Roman"/>
          <w:sz w:val="24"/>
          <w:szCs w:val="24"/>
        </w:rPr>
        <w:t xml:space="preserve">framework </w:t>
      </w:r>
      <w:r w:rsidR="001E09DA">
        <w:rPr>
          <w:rFonts w:ascii="Times New Roman" w:hAnsi="Times New Roman" w:cs="Times New Roman"/>
          <w:sz w:val="24"/>
          <w:szCs w:val="24"/>
        </w:rPr>
        <w:t>places</w:t>
      </w:r>
      <w:r>
        <w:rPr>
          <w:rFonts w:ascii="Times New Roman" w:hAnsi="Times New Roman" w:cs="Times New Roman"/>
          <w:sz w:val="24"/>
          <w:szCs w:val="24"/>
        </w:rPr>
        <w:t xml:space="preserve"> the concept</w:t>
      </w:r>
      <w:r w:rsidR="001E09DA">
        <w:rPr>
          <w:rFonts w:ascii="Times New Roman" w:hAnsi="Times New Roman" w:cs="Times New Roman"/>
          <w:sz w:val="24"/>
          <w:szCs w:val="24"/>
        </w:rPr>
        <w:t xml:space="preserve"> and importance</w:t>
      </w:r>
      <w:r>
        <w:rPr>
          <w:rFonts w:ascii="Times New Roman" w:hAnsi="Times New Roman" w:cs="Times New Roman"/>
          <w:sz w:val="24"/>
          <w:szCs w:val="24"/>
        </w:rPr>
        <w:t xml:space="preserve"> of interstate rivalries in a larger perspective. It is not surprising that interstate rivalries often lead to conflicts and </w:t>
      </w:r>
      <w:r w:rsidR="001B598C">
        <w:rPr>
          <w:rFonts w:ascii="Times New Roman" w:hAnsi="Times New Roman" w:cs="Times New Roman"/>
          <w:sz w:val="24"/>
          <w:szCs w:val="24"/>
        </w:rPr>
        <w:t xml:space="preserve">that the presence of numerous </w:t>
      </w:r>
      <w:r>
        <w:rPr>
          <w:rFonts w:ascii="Times New Roman" w:hAnsi="Times New Roman" w:cs="Times New Roman"/>
          <w:sz w:val="24"/>
          <w:szCs w:val="24"/>
        </w:rPr>
        <w:t xml:space="preserve">interstate rivalries in a region would also lead to substantial intra-regional conflict. The </w:t>
      </w:r>
      <w:r>
        <w:rPr>
          <w:rFonts w:ascii="Times New Roman" w:hAnsi="Times New Roman" w:cs="Times New Roman"/>
          <w:sz w:val="24"/>
          <w:szCs w:val="24"/>
        </w:rPr>
        <w:lastRenderedPageBreak/>
        <w:t>larger issue, however, may be</w:t>
      </w:r>
      <w:r w:rsidR="001E09DA">
        <w:rPr>
          <w:rFonts w:ascii="Times New Roman" w:hAnsi="Times New Roman" w:cs="Times New Roman"/>
          <w:sz w:val="24"/>
          <w:szCs w:val="24"/>
        </w:rPr>
        <w:t xml:space="preserve"> determining </w:t>
      </w:r>
      <w:r>
        <w:rPr>
          <w:rFonts w:ascii="Times New Roman" w:hAnsi="Times New Roman" w:cs="Times New Roman"/>
          <w:sz w:val="24"/>
          <w:szCs w:val="24"/>
        </w:rPr>
        <w:t>the relative salience of rivalries</w:t>
      </w:r>
      <w:r w:rsidR="004A07D4">
        <w:rPr>
          <w:rFonts w:ascii="Times New Roman" w:hAnsi="Times New Roman" w:cs="Times New Roman"/>
          <w:sz w:val="24"/>
          <w:szCs w:val="24"/>
        </w:rPr>
        <w:t xml:space="preserve"> compared to other fault lines</w:t>
      </w:r>
      <w:r>
        <w:rPr>
          <w:rFonts w:ascii="Times New Roman" w:hAnsi="Times New Roman" w:cs="Times New Roman"/>
          <w:sz w:val="24"/>
          <w:szCs w:val="24"/>
        </w:rPr>
        <w:t xml:space="preserve">. Are </w:t>
      </w:r>
      <w:r w:rsidR="004A07D4">
        <w:rPr>
          <w:rFonts w:ascii="Times New Roman" w:hAnsi="Times New Roman" w:cs="Times New Roman"/>
          <w:sz w:val="24"/>
          <w:szCs w:val="24"/>
        </w:rPr>
        <w:t>rivalries</w:t>
      </w:r>
      <w:r>
        <w:rPr>
          <w:rFonts w:ascii="Times New Roman" w:hAnsi="Times New Roman" w:cs="Times New Roman"/>
          <w:sz w:val="24"/>
          <w:szCs w:val="24"/>
        </w:rPr>
        <w:t xml:space="preserve"> more important in accounting for conflict between members of a region than the possible diffusion of civil wars or unresolved, festering territorial claims? </w:t>
      </w:r>
      <w:r w:rsidR="001B598C">
        <w:rPr>
          <w:rFonts w:ascii="Times New Roman" w:hAnsi="Times New Roman" w:cs="Times New Roman"/>
          <w:sz w:val="24"/>
          <w:szCs w:val="24"/>
        </w:rPr>
        <w:t xml:space="preserve">Are </w:t>
      </w:r>
      <w:r w:rsidR="004A07D4">
        <w:rPr>
          <w:rFonts w:ascii="Times New Roman" w:hAnsi="Times New Roman" w:cs="Times New Roman"/>
          <w:sz w:val="24"/>
          <w:szCs w:val="24"/>
        </w:rPr>
        <w:t>rival</w:t>
      </w:r>
      <w:r w:rsidR="00CC223E">
        <w:rPr>
          <w:rFonts w:ascii="Times New Roman" w:hAnsi="Times New Roman" w:cs="Times New Roman"/>
          <w:sz w:val="24"/>
          <w:szCs w:val="24"/>
        </w:rPr>
        <w:t>r</w:t>
      </w:r>
      <w:r w:rsidR="004A07D4">
        <w:rPr>
          <w:rFonts w:ascii="Times New Roman" w:hAnsi="Times New Roman" w:cs="Times New Roman"/>
          <w:sz w:val="24"/>
          <w:szCs w:val="24"/>
        </w:rPr>
        <w:t>ies</w:t>
      </w:r>
      <w:r w:rsidR="001B598C">
        <w:rPr>
          <w:rFonts w:ascii="Times New Roman" w:hAnsi="Times New Roman" w:cs="Times New Roman"/>
          <w:sz w:val="24"/>
          <w:szCs w:val="24"/>
        </w:rPr>
        <w:t xml:space="preserve"> trumped by competing pacifying conditions</w:t>
      </w:r>
      <w:r w:rsidR="008277D9">
        <w:rPr>
          <w:rFonts w:ascii="Times New Roman" w:hAnsi="Times New Roman" w:cs="Times New Roman"/>
          <w:sz w:val="24"/>
          <w:szCs w:val="24"/>
        </w:rPr>
        <w:t>,</w:t>
      </w:r>
      <w:r w:rsidR="001E09DA">
        <w:rPr>
          <w:rFonts w:ascii="Times New Roman" w:hAnsi="Times New Roman" w:cs="Times New Roman"/>
          <w:sz w:val="24"/>
          <w:szCs w:val="24"/>
        </w:rPr>
        <w:t xml:space="preserve"> such as a predominance of democracies</w:t>
      </w:r>
      <w:r w:rsidR="008277D9">
        <w:rPr>
          <w:rFonts w:ascii="Times New Roman" w:hAnsi="Times New Roman" w:cs="Times New Roman"/>
          <w:sz w:val="24"/>
          <w:szCs w:val="24"/>
        </w:rPr>
        <w:t xml:space="preserve"> in the region</w:t>
      </w:r>
      <w:r w:rsidR="009463C0">
        <w:rPr>
          <w:rFonts w:ascii="Times New Roman" w:hAnsi="Times New Roman" w:cs="Times New Roman"/>
          <w:sz w:val="24"/>
          <w:szCs w:val="24"/>
        </w:rPr>
        <w:t>;</w:t>
      </w:r>
      <w:r w:rsidR="001B598C">
        <w:rPr>
          <w:rFonts w:ascii="Times New Roman" w:hAnsi="Times New Roman" w:cs="Times New Roman"/>
          <w:sz w:val="24"/>
          <w:szCs w:val="24"/>
        </w:rPr>
        <w:t xml:space="preserve"> or, the presence in the region of a dominant power seeking order</w:t>
      </w:r>
      <w:r w:rsidR="009463C0">
        <w:rPr>
          <w:rFonts w:ascii="Times New Roman" w:hAnsi="Times New Roman" w:cs="Times New Roman"/>
          <w:sz w:val="24"/>
          <w:szCs w:val="24"/>
        </w:rPr>
        <w:t>;</w:t>
      </w:r>
      <w:r w:rsidR="001B598C">
        <w:rPr>
          <w:rFonts w:ascii="Times New Roman" w:hAnsi="Times New Roman" w:cs="Times New Roman"/>
          <w:sz w:val="24"/>
          <w:szCs w:val="24"/>
        </w:rPr>
        <w:t xml:space="preserve"> or, by external interference into a region by outside powers? </w:t>
      </w:r>
      <w:r>
        <w:rPr>
          <w:rFonts w:ascii="Times New Roman" w:hAnsi="Times New Roman" w:cs="Times New Roman"/>
          <w:sz w:val="24"/>
          <w:szCs w:val="24"/>
        </w:rPr>
        <w:t>Our framework is designed</w:t>
      </w:r>
      <w:r w:rsidR="001B598C">
        <w:rPr>
          <w:rFonts w:ascii="Times New Roman" w:hAnsi="Times New Roman" w:cs="Times New Roman"/>
          <w:sz w:val="24"/>
          <w:szCs w:val="24"/>
        </w:rPr>
        <w:t xml:space="preserve"> to </w:t>
      </w:r>
      <w:r w:rsidR="009D0D77">
        <w:rPr>
          <w:rFonts w:ascii="Times New Roman" w:hAnsi="Times New Roman" w:cs="Times New Roman"/>
          <w:sz w:val="24"/>
          <w:szCs w:val="24"/>
        </w:rPr>
        <w:t>probe for</w:t>
      </w:r>
      <w:r w:rsidR="001B598C">
        <w:rPr>
          <w:rFonts w:ascii="Times New Roman" w:hAnsi="Times New Roman" w:cs="Times New Roman"/>
          <w:sz w:val="24"/>
          <w:szCs w:val="24"/>
        </w:rPr>
        <w:t xml:space="preserve"> answer</w:t>
      </w:r>
      <w:r w:rsidR="009D0D77">
        <w:rPr>
          <w:rFonts w:ascii="Times New Roman" w:hAnsi="Times New Roman" w:cs="Times New Roman"/>
          <w:sz w:val="24"/>
          <w:szCs w:val="24"/>
        </w:rPr>
        <w:t>s to</w:t>
      </w:r>
      <w:r w:rsidR="001B598C">
        <w:rPr>
          <w:rFonts w:ascii="Times New Roman" w:hAnsi="Times New Roman" w:cs="Times New Roman"/>
          <w:sz w:val="24"/>
          <w:szCs w:val="24"/>
        </w:rPr>
        <w:t xml:space="preserve"> these questions.</w:t>
      </w:r>
    </w:p>
    <w:p w14:paraId="3F17C2EE" w14:textId="490C5D56" w:rsidR="001B598C" w:rsidRDefault="001B598C" w:rsidP="00086ADE">
      <w:pPr>
        <w:spacing w:line="480" w:lineRule="auto"/>
        <w:ind w:right="-360"/>
        <w:rPr>
          <w:rFonts w:ascii="Times New Roman" w:hAnsi="Times New Roman" w:cs="Times New Roman"/>
          <w:sz w:val="24"/>
          <w:szCs w:val="24"/>
        </w:rPr>
      </w:pPr>
      <w:r>
        <w:rPr>
          <w:rFonts w:ascii="Times New Roman" w:hAnsi="Times New Roman" w:cs="Times New Roman"/>
          <w:sz w:val="24"/>
          <w:szCs w:val="24"/>
        </w:rPr>
        <w:tab/>
        <w:t xml:space="preserve">The second dimension of </w:t>
      </w:r>
      <w:r w:rsidR="008277D9">
        <w:rPr>
          <w:rFonts w:ascii="Times New Roman" w:hAnsi="Times New Roman" w:cs="Times New Roman"/>
          <w:sz w:val="24"/>
          <w:szCs w:val="24"/>
        </w:rPr>
        <w:t xml:space="preserve">our </w:t>
      </w:r>
      <w:r>
        <w:rPr>
          <w:rFonts w:ascii="Times New Roman" w:hAnsi="Times New Roman" w:cs="Times New Roman"/>
          <w:sz w:val="24"/>
          <w:szCs w:val="24"/>
        </w:rPr>
        <w:t xml:space="preserve">framework </w:t>
      </w:r>
      <w:r w:rsidR="002D50E9">
        <w:rPr>
          <w:rFonts w:ascii="Times New Roman" w:hAnsi="Times New Roman" w:cs="Times New Roman"/>
          <w:sz w:val="24"/>
          <w:szCs w:val="24"/>
        </w:rPr>
        <w:t>d</w:t>
      </w:r>
      <w:r>
        <w:rPr>
          <w:rFonts w:ascii="Times New Roman" w:hAnsi="Times New Roman" w:cs="Times New Roman"/>
          <w:sz w:val="24"/>
          <w:szCs w:val="24"/>
        </w:rPr>
        <w:t>raw</w:t>
      </w:r>
      <w:r w:rsidR="002D50E9">
        <w:rPr>
          <w:rFonts w:ascii="Times New Roman" w:hAnsi="Times New Roman" w:cs="Times New Roman"/>
          <w:sz w:val="24"/>
          <w:szCs w:val="24"/>
        </w:rPr>
        <w:t>s</w:t>
      </w:r>
      <w:r>
        <w:rPr>
          <w:rFonts w:ascii="Times New Roman" w:hAnsi="Times New Roman" w:cs="Times New Roman"/>
          <w:sz w:val="24"/>
          <w:szCs w:val="24"/>
        </w:rPr>
        <w:t xml:space="preserve"> attention to the notion that regions do</w:t>
      </w:r>
      <w:r w:rsidR="004A07D4">
        <w:rPr>
          <w:rFonts w:ascii="Times New Roman" w:hAnsi="Times New Roman" w:cs="Times New Roman"/>
          <w:sz w:val="24"/>
          <w:szCs w:val="24"/>
        </w:rPr>
        <w:t xml:space="preserve"> not exist in a </w:t>
      </w:r>
      <w:r>
        <w:rPr>
          <w:rFonts w:ascii="Times New Roman" w:hAnsi="Times New Roman" w:cs="Times New Roman"/>
          <w:sz w:val="24"/>
          <w:szCs w:val="24"/>
        </w:rPr>
        <w:t xml:space="preserve">vacuum. </w:t>
      </w:r>
      <w:r w:rsidR="00DE1D46">
        <w:rPr>
          <w:rFonts w:ascii="Times New Roman" w:hAnsi="Times New Roman" w:cs="Times New Roman"/>
          <w:sz w:val="24"/>
          <w:szCs w:val="24"/>
        </w:rPr>
        <w:t xml:space="preserve">Regions </w:t>
      </w:r>
      <w:r>
        <w:rPr>
          <w:rFonts w:ascii="Times New Roman" w:hAnsi="Times New Roman" w:cs="Times New Roman"/>
          <w:sz w:val="24"/>
          <w:szCs w:val="24"/>
        </w:rPr>
        <w:t xml:space="preserve">are also part of the global international system and likely vary in terms of their permeability to global forces and global powers. The “bi-polar” global conflicts </w:t>
      </w:r>
      <w:r w:rsidR="008277D9">
        <w:rPr>
          <w:rFonts w:ascii="Times New Roman" w:hAnsi="Times New Roman" w:cs="Times New Roman"/>
          <w:sz w:val="24"/>
          <w:szCs w:val="24"/>
        </w:rPr>
        <w:t xml:space="preserve">of </w:t>
      </w:r>
      <w:r>
        <w:rPr>
          <w:rFonts w:ascii="Times New Roman" w:hAnsi="Times New Roman" w:cs="Times New Roman"/>
          <w:sz w:val="24"/>
          <w:szCs w:val="24"/>
        </w:rPr>
        <w:t>the Cold War touched, to one extent or another, virtually every region</w:t>
      </w:r>
      <w:r w:rsidR="00F70729">
        <w:rPr>
          <w:rFonts w:ascii="Times New Roman" w:hAnsi="Times New Roman" w:cs="Times New Roman"/>
          <w:sz w:val="24"/>
          <w:szCs w:val="24"/>
        </w:rPr>
        <w:t xml:space="preserve">; the key to comparative regional analysis is understanding the extent to which some regions were able to resist Cold War intrusion more so than others. Similarly, in the post-Cold War environment major powers such as the U.S., China, </w:t>
      </w:r>
      <w:r w:rsidR="00703FD9">
        <w:rPr>
          <w:rFonts w:ascii="Times New Roman" w:hAnsi="Times New Roman" w:cs="Times New Roman"/>
          <w:sz w:val="24"/>
          <w:szCs w:val="24"/>
        </w:rPr>
        <w:t>and</w:t>
      </w:r>
      <w:r w:rsidR="00F70729">
        <w:rPr>
          <w:rFonts w:ascii="Times New Roman" w:hAnsi="Times New Roman" w:cs="Times New Roman"/>
          <w:sz w:val="24"/>
          <w:szCs w:val="24"/>
        </w:rPr>
        <w:t xml:space="preserve"> Russia</w:t>
      </w:r>
      <w:r w:rsidR="00F70729">
        <w:rPr>
          <w:rStyle w:val="FootnoteReference"/>
          <w:rFonts w:ascii="Times New Roman" w:hAnsi="Times New Roman" w:cs="Times New Roman"/>
          <w:sz w:val="24"/>
          <w:szCs w:val="24"/>
        </w:rPr>
        <w:footnoteReference w:id="4"/>
      </w:r>
      <w:r w:rsidR="00F70729">
        <w:rPr>
          <w:rFonts w:ascii="Times New Roman" w:hAnsi="Times New Roman" w:cs="Times New Roman"/>
          <w:sz w:val="24"/>
          <w:szCs w:val="24"/>
        </w:rPr>
        <w:t xml:space="preserve"> have actively intervened in regional affairs in some regions albeit not uniformly in all; an appropriate question is to ask about the conditions that may facilitate the extent of regional resistance to such intervention, and the effects of such intervention</w:t>
      </w:r>
      <w:r w:rsidR="00823E67">
        <w:rPr>
          <w:rFonts w:ascii="Times New Roman" w:hAnsi="Times New Roman" w:cs="Times New Roman"/>
          <w:sz w:val="24"/>
          <w:szCs w:val="24"/>
        </w:rPr>
        <w:t>s</w:t>
      </w:r>
      <w:r w:rsidR="00F70729">
        <w:rPr>
          <w:rFonts w:ascii="Times New Roman" w:hAnsi="Times New Roman" w:cs="Times New Roman"/>
          <w:sz w:val="24"/>
          <w:szCs w:val="24"/>
        </w:rPr>
        <w:t xml:space="preserve"> on intra-regional relations.</w:t>
      </w:r>
    </w:p>
    <w:p w14:paraId="0D9E032C" w14:textId="249AE6B1" w:rsidR="00B53CBC" w:rsidRDefault="00F70729" w:rsidP="00086ADE">
      <w:pPr>
        <w:spacing w:line="480" w:lineRule="auto"/>
        <w:ind w:right="-360"/>
        <w:rPr>
          <w:rFonts w:ascii="Times New Roman" w:hAnsi="Times New Roman" w:cs="Times New Roman"/>
          <w:sz w:val="24"/>
          <w:szCs w:val="24"/>
        </w:rPr>
      </w:pPr>
      <w:r>
        <w:rPr>
          <w:rFonts w:ascii="Times New Roman" w:hAnsi="Times New Roman" w:cs="Times New Roman"/>
          <w:sz w:val="24"/>
          <w:szCs w:val="24"/>
        </w:rPr>
        <w:tab/>
        <w:t xml:space="preserve">The third aspect of our framework focuses on whether (and </w:t>
      </w:r>
      <w:r w:rsidR="00B53CBC">
        <w:rPr>
          <w:rFonts w:ascii="Times New Roman" w:hAnsi="Times New Roman" w:cs="Times New Roman"/>
          <w:sz w:val="24"/>
          <w:szCs w:val="24"/>
        </w:rPr>
        <w:t xml:space="preserve">the extent to which) intra-regional relationships play out in the context of power hierarchies. Some regions contain one or more </w:t>
      </w:r>
      <w:r w:rsidR="00B53CBC" w:rsidRPr="00CC223E">
        <w:rPr>
          <w:rFonts w:ascii="Times New Roman" w:hAnsi="Times New Roman" w:cs="Times New Roman"/>
          <w:sz w:val="24"/>
          <w:szCs w:val="24"/>
        </w:rPr>
        <w:t>major powers</w:t>
      </w:r>
      <w:r w:rsidR="00B53CBC">
        <w:rPr>
          <w:rFonts w:ascii="Times New Roman" w:hAnsi="Times New Roman" w:cs="Times New Roman"/>
          <w:sz w:val="24"/>
          <w:szCs w:val="24"/>
        </w:rPr>
        <w:t xml:space="preserve"> </w:t>
      </w:r>
      <w:r w:rsidR="006D2653">
        <w:rPr>
          <w:rFonts w:ascii="Times New Roman" w:hAnsi="Times New Roman" w:cs="Times New Roman"/>
          <w:sz w:val="24"/>
          <w:szCs w:val="24"/>
        </w:rPr>
        <w:t>with</w:t>
      </w:r>
      <w:r w:rsidR="00B53CBC">
        <w:rPr>
          <w:rFonts w:ascii="Times New Roman" w:hAnsi="Times New Roman" w:cs="Times New Roman"/>
          <w:sz w:val="24"/>
          <w:szCs w:val="24"/>
        </w:rPr>
        <w:t xml:space="preserve"> the capability (and often the willingness) to dominate relationships within the region, </w:t>
      </w:r>
      <w:r w:rsidR="002D50E9">
        <w:rPr>
          <w:rFonts w:ascii="Times New Roman" w:hAnsi="Times New Roman" w:cs="Times New Roman"/>
          <w:sz w:val="24"/>
          <w:szCs w:val="24"/>
        </w:rPr>
        <w:t>and/</w:t>
      </w:r>
      <w:r w:rsidR="00B53CBC">
        <w:rPr>
          <w:rFonts w:ascii="Times New Roman" w:hAnsi="Times New Roman" w:cs="Times New Roman"/>
          <w:sz w:val="24"/>
          <w:szCs w:val="24"/>
        </w:rPr>
        <w:t xml:space="preserve">or to seek </w:t>
      </w:r>
      <w:r w:rsidR="004A07D4">
        <w:rPr>
          <w:rFonts w:ascii="Times New Roman" w:hAnsi="Times New Roman" w:cs="Times New Roman"/>
          <w:sz w:val="24"/>
          <w:szCs w:val="24"/>
        </w:rPr>
        <w:t xml:space="preserve">favorable </w:t>
      </w:r>
      <w:r w:rsidR="00B53CBC">
        <w:rPr>
          <w:rFonts w:ascii="Times New Roman" w:hAnsi="Times New Roman" w:cs="Times New Roman"/>
          <w:sz w:val="24"/>
          <w:szCs w:val="24"/>
        </w:rPr>
        <w:t xml:space="preserve">regional security and economic orders. Other regions may contain a dominant </w:t>
      </w:r>
      <w:r w:rsidR="00B53CBC" w:rsidRPr="00CC223E">
        <w:rPr>
          <w:rFonts w:ascii="Times New Roman" w:hAnsi="Times New Roman" w:cs="Times New Roman"/>
          <w:sz w:val="24"/>
          <w:szCs w:val="24"/>
        </w:rPr>
        <w:t>regional power</w:t>
      </w:r>
      <w:r w:rsidR="00B53CBC">
        <w:rPr>
          <w:rFonts w:ascii="Times New Roman" w:hAnsi="Times New Roman" w:cs="Times New Roman"/>
          <w:sz w:val="24"/>
          <w:szCs w:val="24"/>
        </w:rPr>
        <w:t xml:space="preserve"> </w:t>
      </w:r>
      <w:r w:rsidR="006D2653">
        <w:rPr>
          <w:rFonts w:ascii="Times New Roman" w:hAnsi="Times New Roman" w:cs="Times New Roman"/>
          <w:sz w:val="24"/>
          <w:szCs w:val="24"/>
        </w:rPr>
        <w:t>seeking</w:t>
      </w:r>
      <w:r w:rsidR="00B53CBC">
        <w:rPr>
          <w:rFonts w:ascii="Times New Roman" w:hAnsi="Times New Roman" w:cs="Times New Roman"/>
          <w:sz w:val="24"/>
          <w:szCs w:val="24"/>
        </w:rPr>
        <w:t xml:space="preserve"> the same. Finally, there are numerous regions in world </w:t>
      </w:r>
      <w:r w:rsidR="00B53CBC">
        <w:rPr>
          <w:rFonts w:ascii="Times New Roman" w:hAnsi="Times New Roman" w:cs="Times New Roman"/>
          <w:sz w:val="24"/>
          <w:szCs w:val="24"/>
        </w:rPr>
        <w:lastRenderedPageBreak/>
        <w:t xml:space="preserve">politics </w:t>
      </w:r>
      <w:r w:rsidR="006D2653">
        <w:rPr>
          <w:rFonts w:ascii="Times New Roman" w:hAnsi="Times New Roman" w:cs="Times New Roman"/>
          <w:sz w:val="24"/>
          <w:szCs w:val="24"/>
        </w:rPr>
        <w:t>containing</w:t>
      </w:r>
      <w:r w:rsidR="00B53CBC">
        <w:rPr>
          <w:rFonts w:ascii="Times New Roman" w:hAnsi="Times New Roman" w:cs="Times New Roman"/>
          <w:sz w:val="24"/>
          <w:szCs w:val="24"/>
        </w:rPr>
        <w:t xml:space="preserve"> neither regional nor ma</w:t>
      </w:r>
      <w:r w:rsidR="00F82660">
        <w:rPr>
          <w:rFonts w:ascii="Times New Roman" w:hAnsi="Times New Roman" w:cs="Times New Roman"/>
          <w:sz w:val="24"/>
          <w:szCs w:val="24"/>
        </w:rPr>
        <w:t>jor powers; the</w:t>
      </w:r>
      <w:r w:rsidR="00B53CBC">
        <w:rPr>
          <w:rFonts w:ascii="Times New Roman" w:hAnsi="Times New Roman" w:cs="Times New Roman"/>
          <w:sz w:val="24"/>
          <w:szCs w:val="24"/>
        </w:rPr>
        <w:t xml:space="preserve"> intra-regional relationships </w:t>
      </w:r>
      <w:r w:rsidR="00F82660">
        <w:rPr>
          <w:rFonts w:ascii="Times New Roman" w:hAnsi="Times New Roman" w:cs="Times New Roman"/>
          <w:sz w:val="24"/>
          <w:szCs w:val="24"/>
        </w:rPr>
        <w:t xml:space="preserve">in several of those regions </w:t>
      </w:r>
      <w:r w:rsidR="00CC223E">
        <w:rPr>
          <w:rFonts w:ascii="Times New Roman" w:hAnsi="Times New Roman" w:cs="Times New Roman"/>
          <w:sz w:val="24"/>
          <w:szCs w:val="24"/>
        </w:rPr>
        <w:t xml:space="preserve">(including the Middle East) </w:t>
      </w:r>
      <w:r w:rsidR="00B53CBC">
        <w:rPr>
          <w:rFonts w:ascii="Times New Roman" w:hAnsi="Times New Roman" w:cs="Times New Roman"/>
          <w:sz w:val="24"/>
          <w:szCs w:val="24"/>
        </w:rPr>
        <w:t xml:space="preserve">resemble </w:t>
      </w:r>
      <w:r w:rsidR="002D50E9">
        <w:rPr>
          <w:rFonts w:ascii="Times New Roman" w:hAnsi="Times New Roman" w:cs="Times New Roman"/>
          <w:sz w:val="24"/>
          <w:szCs w:val="24"/>
        </w:rPr>
        <w:t xml:space="preserve">conditions consistent with </w:t>
      </w:r>
      <w:r w:rsidR="00B53CBC">
        <w:rPr>
          <w:rFonts w:ascii="Times New Roman" w:hAnsi="Times New Roman" w:cs="Times New Roman"/>
          <w:sz w:val="24"/>
          <w:szCs w:val="24"/>
        </w:rPr>
        <w:t xml:space="preserve">the anarchy assumption argued by neorealists. </w:t>
      </w:r>
    </w:p>
    <w:p w14:paraId="01EC793E" w14:textId="1611D723" w:rsidR="00A831FE" w:rsidRDefault="00B53CBC" w:rsidP="00086ADE">
      <w:pPr>
        <w:spacing w:line="480" w:lineRule="auto"/>
        <w:ind w:right="-360"/>
        <w:rPr>
          <w:rFonts w:ascii="Times New Roman" w:hAnsi="Times New Roman" w:cs="Times New Roman"/>
          <w:sz w:val="24"/>
          <w:szCs w:val="24"/>
        </w:rPr>
      </w:pPr>
      <w:r>
        <w:rPr>
          <w:rFonts w:ascii="Times New Roman" w:hAnsi="Times New Roman" w:cs="Times New Roman"/>
          <w:sz w:val="24"/>
          <w:szCs w:val="24"/>
        </w:rPr>
        <w:tab/>
      </w:r>
      <w:r w:rsidR="00A831FE">
        <w:rPr>
          <w:rFonts w:ascii="Times New Roman" w:hAnsi="Times New Roman" w:cs="Times New Roman"/>
          <w:sz w:val="24"/>
          <w:szCs w:val="24"/>
        </w:rPr>
        <w:t>We consider the</w:t>
      </w:r>
      <w:r>
        <w:rPr>
          <w:rFonts w:ascii="Times New Roman" w:hAnsi="Times New Roman" w:cs="Times New Roman"/>
          <w:sz w:val="24"/>
          <w:szCs w:val="24"/>
        </w:rPr>
        <w:t xml:space="preserve"> presence or absence of hierarchy, and the type of hierarchy that may exist within a region</w:t>
      </w:r>
      <w:r w:rsidR="00F71E0F">
        <w:rPr>
          <w:rFonts w:ascii="Times New Roman" w:hAnsi="Times New Roman" w:cs="Times New Roman"/>
          <w:sz w:val="24"/>
          <w:szCs w:val="24"/>
        </w:rPr>
        <w:t>,</w:t>
      </w:r>
      <w:r>
        <w:rPr>
          <w:rFonts w:ascii="Times New Roman" w:hAnsi="Times New Roman" w:cs="Times New Roman"/>
          <w:sz w:val="24"/>
          <w:szCs w:val="24"/>
        </w:rPr>
        <w:t xml:space="preserve"> to be particularly salient to intra-regional relationships.</w:t>
      </w:r>
      <w:r w:rsidR="005D364D">
        <w:rPr>
          <w:rStyle w:val="FootnoteReference"/>
          <w:rFonts w:ascii="Times New Roman" w:hAnsi="Times New Roman" w:cs="Times New Roman"/>
          <w:sz w:val="24"/>
          <w:szCs w:val="24"/>
        </w:rPr>
        <w:footnoteReference w:id="5"/>
      </w:r>
      <w:r w:rsidR="00A831FE">
        <w:rPr>
          <w:rFonts w:ascii="Times New Roman" w:hAnsi="Times New Roman" w:cs="Times New Roman"/>
          <w:sz w:val="24"/>
          <w:szCs w:val="24"/>
        </w:rPr>
        <w:t xml:space="preserve"> This </w:t>
      </w:r>
      <w:r w:rsidR="00690D5D">
        <w:rPr>
          <w:rFonts w:ascii="Times New Roman" w:hAnsi="Times New Roman" w:cs="Times New Roman"/>
          <w:sz w:val="24"/>
          <w:szCs w:val="24"/>
        </w:rPr>
        <w:t xml:space="preserve">is </w:t>
      </w:r>
      <w:r w:rsidR="00A831FE">
        <w:rPr>
          <w:rFonts w:ascii="Times New Roman" w:hAnsi="Times New Roman" w:cs="Times New Roman"/>
          <w:sz w:val="24"/>
          <w:szCs w:val="24"/>
        </w:rPr>
        <w:t>so for two reasons. The first is that a dominant power in the region would likely find it in its interest to impose order in the region. Consistent with its own foreign policy objectives, a dominant power would formulate security and economic rules, norms, and institutions favoring it, but also with a view toward minimizing regional conflicts that may be disruptive to its interests. How much of such order a dominant power can create in its region (and to what extent it will seek conformance by other states in the region) likely depends on its capabilities, willingness, and competence to do so.</w:t>
      </w:r>
    </w:p>
    <w:p w14:paraId="67F3F339" w14:textId="7A658B2C" w:rsidR="00A873C6" w:rsidRPr="007A3753" w:rsidRDefault="00F82660" w:rsidP="00A831FE">
      <w:pPr>
        <w:spacing w:line="480" w:lineRule="auto"/>
        <w:ind w:right="-360" w:firstLine="720"/>
        <w:rPr>
          <w:rFonts w:ascii="Times New Roman" w:hAnsi="Times New Roman" w:cs="Times New Roman"/>
          <w:sz w:val="24"/>
          <w:szCs w:val="24"/>
        </w:rPr>
      </w:pPr>
      <w:r>
        <w:rPr>
          <w:rFonts w:ascii="Times New Roman" w:hAnsi="Times New Roman" w:cs="Times New Roman"/>
          <w:sz w:val="24"/>
          <w:szCs w:val="24"/>
        </w:rPr>
        <w:t>T</w:t>
      </w:r>
      <w:r w:rsidR="00A831FE">
        <w:rPr>
          <w:rFonts w:ascii="Times New Roman" w:hAnsi="Times New Roman" w:cs="Times New Roman"/>
          <w:sz w:val="24"/>
          <w:szCs w:val="24"/>
        </w:rPr>
        <w:t>he second reason why the distinction is important is the relationship between hierarchy, regional characteristics, and region</w:t>
      </w:r>
      <w:r w:rsidR="00FB3157">
        <w:rPr>
          <w:rFonts w:ascii="Times New Roman" w:hAnsi="Times New Roman" w:cs="Times New Roman"/>
          <w:sz w:val="24"/>
          <w:szCs w:val="24"/>
        </w:rPr>
        <w:t>al</w:t>
      </w:r>
      <w:r w:rsidR="00A831FE">
        <w:rPr>
          <w:rFonts w:ascii="Times New Roman" w:hAnsi="Times New Roman" w:cs="Times New Roman"/>
          <w:sz w:val="24"/>
          <w:szCs w:val="24"/>
        </w:rPr>
        <w:t xml:space="preserve"> permeability to global dynamics. </w:t>
      </w:r>
      <w:r w:rsidR="00A17A37">
        <w:rPr>
          <w:rFonts w:ascii="Times New Roman" w:hAnsi="Times New Roman" w:cs="Times New Roman"/>
          <w:sz w:val="24"/>
          <w:szCs w:val="24"/>
        </w:rPr>
        <w:t>Strong dominant powers in a region may seek to minimize fault lines or minimize their diffusion across the region; encourage the development of regional</w:t>
      </w:r>
      <w:r w:rsidR="001D3B31">
        <w:rPr>
          <w:rFonts w:ascii="Times New Roman" w:hAnsi="Times New Roman" w:cs="Times New Roman"/>
          <w:sz w:val="24"/>
          <w:szCs w:val="24"/>
        </w:rPr>
        <w:t>ly</w:t>
      </w:r>
      <w:r w:rsidR="00A17A37">
        <w:rPr>
          <w:rFonts w:ascii="Times New Roman" w:hAnsi="Times New Roman" w:cs="Times New Roman"/>
          <w:sz w:val="24"/>
          <w:szCs w:val="24"/>
        </w:rPr>
        <w:t xml:space="preserve"> pacifying trends (e.g.</w:t>
      </w:r>
      <w:r w:rsidR="001D3B31">
        <w:rPr>
          <w:rFonts w:ascii="Times New Roman" w:hAnsi="Times New Roman" w:cs="Times New Roman"/>
          <w:sz w:val="24"/>
          <w:szCs w:val="24"/>
        </w:rPr>
        <w:t>,</w:t>
      </w:r>
      <w:r w:rsidR="00A17A37">
        <w:rPr>
          <w:rFonts w:ascii="Times New Roman" w:hAnsi="Times New Roman" w:cs="Times New Roman"/>
          <w:sz w:val="24"/>
          <w:szCs w:val="24"/>
        </w:rPr>
        <w:t xml:space="preserve"> trade interdependencies or the creation of IGOs); or, seek to prevent the intrusion of outside powers </w:t>
      </w:r>
      <w:r w:rsidR="00285549">
        <w:rPr>
          <w:rFonts w:ascii="Times New Roman" w:hAnsi="Times New Roman" w:cs="Times New Roman"/>
          <w:sz w:val="24"/>
          <w:szCs w:val="24"/>
        </w:rPr>
        <w:t>that</w:t>
      </w:r>
      <w:r w:rsidR="001D3B31">
        <w:rPr>
          <w:rFonts w:ascii="Times New Roman" w:hAnsi="Times New Roman" w:cs="Times New Roman"/>
          <w:sz w:val="24"/>
          <w:szCs w:val="24"/>
        </w:rPr>
        <w:t xml:space="preserve"> might </w:t>
      </w:r>
      <w:r w:rsidR="002D50E9">
        <w:rPr>
          <w:rFonts w:ascii="Times New Roman" w:hAnsi="Times New Roman" w:cs="Times New Roman"/>
          <w:sz w:val="24"/>
          <w:szCs w:val="24"/>
        </w:rPr>
        <w:t>tak</w:t>
      </w:r>
      <w:r w:rsidR="001D3B31">
        <w:rPr>
          <w:rFonts w:ascii="Times New Roman" w:hAnsi="Times New Roman" w:cs="Times New Roman"/>
          <w:sz w:val="24"/>
          <w:szCs w:val="24"/>
        </w:rPr>
        <w:t>e</w:t>
      </w:r>
      <w:r w:rsidR="002D50E9">
        <w:rPr>
          <w:rFonts w:ascii="Times New Roman" w:hAnsi="Times New Roman" w:cs="Times New Roman"/>
          <w:sz w:val="24"/>
          <w:szCs w:val="24"/>
        </w:rPr>
        <w:t xml:space="preserve"> </w:t>
      </w:r>
      <w:r w:rsidR="00A17A37">
        <w:rPr>
          <w:rFonts w:ascii="Times New Roman" w:hAnsi="Times New Roman" w:cs="Times New Roman"/>
          <w:sz w:val="24"/>
          <w:szCs w:val="24"/>
        </w:rPr>
        <w:t>a</w:t>
      </w:r>
      <w:r w:rsidR="001D3B31">
        <w:rPr>
          <w:rFonts w:ascii="Times New Roman" w:hAnsi="Times New Roman" w:cs="Times New Roman"/>
          <w:sz w:val="24"/>
          <w:szCs w:val="24"/>
        </w:rPr>
        <w:t xml:space="preserve"> counter</w:t>
      </w:r>
      <w:r w:rsidR="00A17A37">
        <w:rPr>
          <w:rFonts w:ascii="Times New Roman" w:hAnsi="Times New Roman" w:cs="Times New Roman"/>
          <w:sz w:val="24"/>
          <w:szCs w:val="24"/>
        </w:rPr>
        <w:t>active role in the region. Presumably</w:t>
      </w:r>
      <w:r w:rsidR="00A86788">
        <w:rPr>
          <w:rFonts w:ascii="Times New Roman" w:hAnsi="Times New Roman" w:cs="Times New Roman"/>
          <w:sz w:val="24"/>
          <w:szCs w:val="24"/>
        </w:rPr>
        <w:t>,</w:t>
      </w:r>
      <w:r w:rsidR="00A17A37">
        <w:rPr>
          <w:rFonts w:ascii="Times New Roman" w:hAnsi="Times New Roman" w:cs="Times New Roman"/>
          <w:sz w:val="24"/>
          <w:szCs w:val="24"/>
        </w:rPr>
        <w:t xml:space="preserve"> these </w:t>
      </w:r>
      <w:r w:rsidR="002D50E9">
        <w:rPr>
          <w:rFonts w:ascii="Times New Roman" w:hAnsi="Times New Roman" w:cs="Times New Roman"/>
          <w:sz w:val="24"/>
          <w:szCs w:val="24"/>
        </w:rPr>
        <w:t>outcomes would</w:t>
      </w:r>
      <w:r w:rsidR="00A17A37">
        <w:rPr>
          <w:rFonts w:ascii="Times New Roman" w:hAnsi="Times New Roman" w:cs="Times New Roman"/>
          <w:sz w:val="24"/>
          <w:szCs w:val="24"/>
        </w:rPr>
        <w:t xml:space="preserve"> require dominant states</w:t>
      </w:r>
      <w:r w:rsidR="00A831FE">
        <w:rPr>
          <w:rFonts w:ascii="Times New Roman" w:hAnsi="Times New Roman" w:cs="Times New Roman"/>
          <w:sz w:val="24"/>
          <w:szCs w:val="24"/>
        </w:rPr>
        <w:t xml:space="preserve"> </w:t>
      </w:r>
      <w:r w:rsidR="00A17A37">
        <w:rPr>
          <w:rFonts w:ascii="Times New Roman" w:hAnsi="Times New Roman" w:cs="Times New Roman"/>
          <w:sz w:val="24"/>
          <w:szCs w:val="24"/>
        </w:rPr>
        <w:t xml:space="preserve">that have substantial </w:t>
      </w:r>
      <w:r w:rsidR="00A831FE">
        <w:rPr>
          <w:rFonts w:ascii="Times New Roman" w:hAnsi="Times New Roman" w:cs="Times New Roman"/>
          <w:sz w:val="24"/>
          <w:szCs w:val="24"/>
        </w:rPr>
        <w:t>capabilit</w:t>
      </w:r>
      <w:r w:rsidR="00A86788">
        <w:rPr>
          <w:rFonts w:ascii="Times New Roman" w:hAnsi="Times New Roman" w:cs="Times New Roman"/>
          <w:sz w:val="24"/>
          <w:szCs w:val="24"/>
        </w:rPr>
        <w:t>ies</w:t>
      </w:r>
      <w:r w:rsidR="00A831FE">
        <w:rPr>
          <w:rFonts w:ascii="Times New Roman" w:hAnsi="Times New Roman" w:cs="Times New Roman"/>
          <w:sz w:val="24"/>
          <w:szCs w:val="24"/>
        </w:rPr>
        <w:t xml:space="preserve"> and </w:t>
      </w:r>
      <w:r w:rsidR="00A86788">
        <w:rPr>
          <w:rFonts w:ascii="Times New Roman" w:hAnsi="Times New Roman" w:cs="Times New Roman"/>
          <w:sz w:val="24"/>
          <w:szCs w:val="24"/>
        </w:rPr>
        <w:t xml:space="preserve">the </w:t>
      </w:r>
      <w:r w:rsidR="00A831FE">
        <w:rPr>
          <w:rFonts w:ascii="Times New Roman" w:hAnsi="Times New Roman" w:cs="Times New Roman"/>
          <w:sz w:val="24"/>
          <w:szCs w:val="24"/>
        </w:rPr>
        <w:t>willingness</w:t>
      </w:r>
      <w:r w:rsidR="00A17A37">
        <w:rPr>
          <w:rFonts w:ascii="Times New Roman" w:hAnsi="Times New Roman" w:cs="Times New Roman"/>
          <w:sz w:val="24"/>
          <w:szCs w:val="24"/>
        </w:rPr>
        <w:t xml:space="preserve"> to act, capability and willingness greater than some regional powers may </w:t>
      </w:r>
      <w:r w:rsidR="002D50E9">
        <w:rPr>
          <w:rFonts w:ascii="Times New Roman" w:hAnsi="Times New Roman" w:cs="Times New Roman"/>
          <w:sz w:val="24"/>
          <w:szCs w:val="24"/>
        </w:rPr>
        <w:t>possess</w:t>
      </w:r>
      <w:r w:rsidR="00A17A37">
        <w:rPr>
          <w:rFonts w:ascii="Times New Roman" w:hAnsi="Times New Roman" w:cs="Times New Roman"/>
          <w:sz w:val="24"/>
          <w:szCs w:val="24"/>
        </w:rPr>
        <w:t>.</w:t>
      </w:r>
    </w:p>
    <w:p w14:paraId="14C6B84A" w14:textId="77777777" w:rsidR="00086ADE" w:rsidRPr="00A17A37" w:rsidRDefault="00EA7633" w:rsidP="005464E8">
      <w:pPr>
        <w:spacing w:line="480" w:lineRule="auto"/>
        <w:ind w:right="-360"/>
        <w:outlineLvl w:val="0"/>
        <w:rPr>
          <w:rFonts w:ascii="Times New Roman" w:hAnsi="Times New Roman" w:cs="Times New Roman"/>
          <w:b/>
          <w:i/>
          <w:sz w:val="24"/>
          <w:szCs w:val="24"/>
        </w:rPr>
      </w:pPr>
      <w:r>
        <w:rPr>
          <w:rFonts w:ascii="Times New Roman" w:hAnsi="Times New Roman" w:cs="Times New Roman"/>
          <w:b/>
          <w:i/>
          <w:sz w:val="24"/>
          <w:szCs w:val="24"/>
        </w:rPr>
        <w:t>A Few Key Concepts</w:t>
      </w:r>
    </w:p>
    <w:p w14:paraId="2698AC8D" w14:textId="19949671" w:rsidR="008247D1" w:rsidRDefault="00A17A37" w:rsidP="000375EB">
      <w:pPr>
        <w:spacing w:line="480" w:lineRule="auto"/>
        <w:ind w:right="-360"/>
        <w:rPr>
          <w:rFonts w:ascii="Times New Roman" w:hAnsi="Times New Roman" w:cs="Times New Roman"/>
          <w:sz w:val="24"/>
          <w:szCs w:val="24"/>
        </w:rPr>
      </w:pPr>
      <w:r>
        <w:rPr>
          <w:rFonts w:ascii="Times New Roman" w:hAnsi="Times New Roman" w:cs="Times New Roman"/>
          <w:sz w:val="24"/>
          <w:szCs w:val="24"/>
        </w:rPr>
        <w:lastRenderedPageBreak/>
        <w:tab/>
      </w:r>
      <w:r w:rsidR="006C1228">
        <w:rPr>
          <w:rFonts w:ascii="Times New Roman" w:hAnsi="Times New Roman" w:cs="Times New Roman"/>
          <w:sz w:val="24"/>
          <w:szCs w:val="24"/>
        </w:rPr>
        <w:t xml:space="preserve">Before </w:t>
      </w:r>
      <w:r w:rsidR="00EA7633">
        <w:rPr>
          <w:rFonts w:ascii="Times New Roman" w:hAnsi="Times New Roman" w:cs="Times New Roman"/>
          <w:sz w:val="24"/>
          <w:szCs w:val="24"/>
        </w:rPr>
        <w:t xml:space="preserve">addressing the salience of rivalries, </w:t>
      </w:r>
      <w:r w:rsidR="006C1228">
        <w:rPr>
          <w:rFonts w:ascii="Times New Roman" w:hAnsi="Times New Roman" w:cs="Times New Roman"/>
          <w:sz w:val="24"/>
          <w:szCs w:val="24"/>
        </w:rPr>
        <w:t>we note a few critical concepts.</w:t>
      </w:r>
      <w:r w:rsidR="001E4EFA">
        <w:rPr>
          <w:rStyle w:val="FootnoteReference"/>
          <w:rFonts w:ascii="Times New Roman" w:hAnsi="Times New Roman" w:cs="Times New Roman"/>
          <w:sz w:val="24"/>
          <w:szCs w:val="24"/>
        </w:rPr>
        <w:footnoteReference w:id="6"/>
      </w:r>
      <w:r w:rsidR="006C1228">
        <w:rPr>
          <w:rFonts w:ascii="Times New Roman" w:hAnsi="Times New Roman" w:cs="Times New Roman"/>
          <w:sz w:val="24"/>
          <w:szCs w:val="24"/>
        </w:rPr>
        <w:t xml:space="preserve"> First, we define a </w:t>
      </w:r>
      <w:r w:rsidR="006C1228" w:rsidRPr="00CC223E">
        <w:rPr>
          <w:rFonts w:ascii="Times New Roman" w:hAnsi="Times New Roman" w:cs="Times New Roman"/>
          <w:sz w:val="24"/>
          <w:szCs w:val="24"/>
        </w:rPr>
        <w:t>region</w:t>
      </w:r>
      <w:r w:rsidR="006C1228">
        <w:rPr>
          <w:rFonts w:ascii="Times New Roman" w:hAnsi="Times New Roman" w:cs="Times New Roman"/>
          <w:sz w:val="24"/>
          <w:szCs w:val="24"/>
        </w:rPr>
        <w:t xml:space="preserve"> as a geopolitical space </w:t>
      </w:r>
      <w:r w:rsidR="00FC59EF">
        <w:rPr>
          <w:rFonts w:ascii="Times New Roman" w:hAnsi="Times New Roman" w:cs="Times New Roman"/>
          <w:sz w:val="24"/>
          <w:szCs w:val="24"/>
        </w:rPr>
        <w:t xml:space="preserve">of three or more states in close proximity, and </w:t>
      </w:r>
      <w:r w:rsidR="002D50E9">
        <w:rPr>
          <w:rFonts w:ascii="Times New Roman" w:hAnsi="Times New Roman" w:cs="Times New Roman"/>
          <w:sz w:val="24"/>
          <w:szCs w:val="24"/>
        </w:rPr>
        <w:t xml:space="preserve">where </w:t>
      </w:r>
      <w:r w:rsidR="00FC59EF">
        <w:rPr>
          <w:rFonts w:ascii="Times New Roman" w:hAnsi="Times New Roman" w:cs="Times New Roman"/>
          <w:sz w:val="24"/>
          <w:szCs w:val="24"/>
        </w:rPr>
        <w:t>state</w:t>
      </w:r>
      <w:r w:rsidR="002D50E9">
        <w:rPr>
          <w:rFonts w:ascii="Times New Roman" w:hAnsi="Times New Roman" w:cs="Times New Roman"/>
          <w:sz w:val="24"/>
          <w:szCs w:val="24"/>
        </w:rPr>
        <w:t>s</w:t>
      </w:r>
      <w:r w:rsidR="00FC59EF">
        <w:rPr>
          <w:rFonts w:ascii="Times New Roman" w:hAnsi="Times New Roman" w:cs="Times New Roman"/>
          <w:sz w:val="24"/>
          <w:szCs w:val="24"/>
        </w:rPr>
        <w:t xml:space="preserve"> </w:t>
      </w:r>
      <w:r w:rsidR="006C1228">
        <w:rPr>
          <w:rFonts w:ascii="Times New Roman" w:hAnsi="Times New Roman" w:cs="Times New Roman"/>
          <w:sz w:val="24"/>
          <w:szCs w:val="24"/>
        </w:rPr>
        <w:t>have the capacity to reach each other and demonstrate some unique willingness to do so</w:t>
      </w:r>
      <w:r w:rsidR="00A72923">
        <w:rPr>
          <w:rFonts w:ascii="Times New Roman" w:hAnsi="Times New Roman" w:cs="Times New Roman"/>
          <w:sz w:val="24"/>
          <w:szCs w:val="24"/>
        </w:rPr>
        <w:t xml:space="preserve"> at a frequency</w:t>
      </w:r>
      <w:r w:rsidR="006C1228">
        <w:rPr>
          <w:rFonts w:ascii="Times New Roman" w:hAnsi="Times New Roman" w:cs="Times New Roman"/>
          <w:sz w:val="24"/>
          <w:szCs w:val="24"/>
        </w:rPr>
        <w:t xml:space="preserve"> typically </w:t>
      </w:r>
      <w:r w:rsidR="00A72923">
        <w:rPr>
          <w:rFonts w:ascii="Times New Roman" w:hAnsi="Times New Roman" w:cs="Times New Roman"/>
          <w:sz w:val="24"/>
          <w:szCs w:val="24"/>
        </w:rPr>
        <w:t>greater</w:t>
      </w:r>
      <w:r w:rsidR="006C1228">
        <w:rPr>
          <w:rFonts w:ascii="Times New Roman" w:hAnsi="Times New Roman" w:cs="Times New Roman"/>
          <w:sz w:val="24"/>
          <w:szCs w:val="24"/>
        </w:rPr>
        <w:t xml:space="preserve"> than with states outside of the region.</w:t>
      </w:r>
      <w:r w:rsidR="002D50E9">
        <w:rPr>
          <w:rStyle w:val="FootnoteReference"/>
          <w:rFonts w:ascii="Times New Roman" w:hAnsi="Times New Roman" w:cs="Times New Roman"/>
          <w:sz w:val="24"/>
          <w:szCs w:val="24"/>
        </w:rPr>
        <w:footnoteReference w:id="7"/>
      </w:r>
      <w:r w:rsidR="006C1228">
        <w:rPr>
          <w:rFonts w:ascii="Times New Roman" w:hAnsi="Times New Roman" w:cs="Times New Roman"/>
          <w:sz w:val="24"/>
          <w:szCs w:val="24"/>
        </w:rPr>
        <w:t xml:space="preserve"> </w:t>
      </w:r>
      <w:r w:rsidR="00D83C21">
        <w:rPr>
          <w:rFonts w:ascii="Times New Roman" w:hAnsi="Times New Roman" w:cs="Times New Roman"/>
          <w:sz w:val="24"/>
          <w:szCs w:val="24"/>
        </w:rPr>
        <w:t xml:space="preserve">We measure the existence of regions and state membership in those regions by aggregating our indicators </w:t>
      </w:r>
      <w:r w:rsidR="00F82660">
        <w:rPr>
          <w:rFonts w:ascii="Times New Roman" w:hAnsi="Times New Roman" w:cs="Times New Roman"/>
          <w:sz w:val="24"/>
          <w:szCs w:val="24"/>
        </w:rPr>
        <w:t>at</w:t>
      </w:r>
      <w:r w:rsidR="00D83C21">
        <w:rPr>
          <w:rFonts w:ascii="Times New Roman" w:hAnsi="Times New Roman" w:cs="Times New Roman"/>
          <w:sz w:val="24"/>
          <w:szCs w:val="24"/>
        </w:rPr>
        <w:t xml:space="preserve"> </w:t>
      </w:r>
      <w:r w:rsidR="00F82660">
        <w:rPr>
          <w:rFonts w:ascii="Times New Roman" w:hAnsi="Times New Roman" w:cs="Times New Roman"/>
          <w:sz w:val="24"/>
          <w:szCs w:val="24"/>
        </w:rPr>
        <w:t>ten-year</w:t>
      </w:r>
      <w:r w:rsidR="00D83C21">
        <w:rPr>
          <w:rFonts w:ascii="Times New Roman" w:hAnsi="Times New Roman" w:cs="Times New Roman"/>
          <w:sz w:val="24"/>
          <w:szCs w:val="24"/>
        </w:rPr>
        <w:t xml:space="preserve"> intervals. Thus, we map regions and</w:t>
      </w:r>
      <w:r w:rsidR="008247D1">
        <w:rPr>
          <w:rFonts w:ascii="Times New Roman" w:hAnsi="Times New Roman" w:cs="Times New Roman"/>
          <w:sz w:val="24"/>
          <w:szCs w:val="24"/>
        </w:rPr>
        <w:t xml:space="preserve"> regional membership by decades, and</w:t>
      </w:r>
      <w:r w:rsidR="00D83C21">
        <w:rPr>
          <w:rFonts w:ascii="Times New Roman" w:hAnsi="Times New Roman" w:cs="Times New Roman"/>
          <w:sz w:val="24"/>
          <w:szCs w:val="24"/>
        </w:rPr>
        <w:t xml:space="preserve"> </w:t>
      </w:r>
      <w:r w:rsidR="008247D1">
        <w:rPr>
          <w:rFonts w:ascii="Times New Roman" w:hAnsi="Times New Roman" w:cs="Times New Roman"/>
          <w:sz w:val="24"/>
          <w:szCs w:val="24"/>
        </w:rPr>
        <w:t>as a result, the primary unit of our analysis below is the region year.</w:t>
      </w:r>
      <w:r w:rsidR="000E385F">
        <w:rPr>
          <w:rStyle w:val="FootnoteReference"/>
          <w:rFonts w:ascii="Times New Roman" w:hAnsi="Times New Roman" w:cs="Times New Roman"/>
          <w:sz w:val="24"/>
          <w:szCs w:val="24"/>
        </w:rPr>
        <w:footnoteReference w:id="8"/>
      </w:r>
    </w:p>
    <w:p w14:paraId="4A206381" w14:textId="5FEDE6C8" w:rsidR="00D83C21" w:rsidRDefault="00D83C21" w:rsidP="006C1228">
      <w:pPr>
        <w:spacing w:line="480" w:lineRule="auto"/>
        <w:ind w:right="-360" w:firstLine="720"/>
        <w:rPr>
          <w:rFonts w:ascii="Times New Roman" w:hAnsi="Times New Roman" w:cs="Times New Roman"/>
          <w:sz w:val="24"/>
          <w:szCs w:val="24"/>
        </w:rPr>
      </w:pPr>
      <w:r>
        <w:rPr>
          <w:rFonts w:ascii="Times New Roman" w:hAnsi="Times New Roman" w:cs="Times New Roman"/>
          <w:sz w:val="24"/>
          <w:szCs w:val="24"/>
        </w:rPr>
        <w:t>Our methodology requires r</w:t>
      </w:r>
      <w:r w:rsidR="006C1228">
        <w:rPr>
          <w:rFonts w:ascii="Times New Roman" w:hAnsi="Times New Roman" w:cs="Times New Roman"/>
          <w:sz w:val="24"/>
          <w:szCs w:val="24"/>
        </w:rPr>
        <w:t xml:space="preserve">egional membership </w:t>
      </w:r>
      <w:r>
        <w:rPr>
          <w:rFonts w:ascii="Times New Roman" w:hAnsi="Times New Roman" w:cs="Times New Roman"/>
          <w:sz w:val="24"/>
          <w:szCs w:val="24"/>
        </w:rPr>
        <w:t xml:space="preserve">to be </w:t>
      </w:r>
      <w:r w:rsidR="006C1228">
        <w:rPr>
          <w:rFonts w:ascii="Times New Roman" w:hAnsi="Times New Roman" w:cs="Times New Roman"/>
          <w:sz w:val="24"/>
          <w:szCs w:val="24"/>
        </w:rPr>
        <w:t xml:space="preserve">mutually exclusive: a state cannot belong to two regions at the same time. </w:t>
      </w:r>
      <w:r>
        <w:rPr>
          <w:rFonts w:ascii="Times New Roman" w:hAnsi="Times New Roman" w:cs="Times New Roman"/>
          <w:sz w:val="24"/>
          <w:szCs w:val="24"/>
        </w:rPr>
        <w:t>However, since both membership in a region and the very existence of a region are empirically determined, states, within geographical limits, can move from one region to another (e.g.</w:t>
      </w:r>
      <w:r w:rsidR="002F14C7">
        <w:rPr>
          <w:rFonts w:ascii="Times New Roman" w:hAnsi="Times New Roman" w:cs="Times New Roman"/>
          <w:sz w:val="24"/>
          <w:szCs w:val="24"/>
        </w:rPr>
        <w:t>,</w:t>
      </w:r>
      <w:r>
        <w:rPr>
          <w:rFonts w:ascii="Times New Roman" w:hAnsi="Times New Roman" w:cs="Times New Roman"/>
          <w:sz w:val="24"/>
          <w:szCs w:val="24"/>
        </w:rPr>
        <w:t xml:space="preserve"> Turkey). Further, not only can new regions </w:t>
      </w:r>
      <w:r w:rsidR="009A2D90">
        <w:rPr>
          <w:rFonts w:ascii="Times New Roman" w:hAnsi="Times New Roman" w:cs="Times New Roman"/>
          <w:sz w:val="24"/>
          <w:szCs w:val="24"/>
        </w:rPr>
        <w:t>emerge</w:t>
      </w:r>
      <w:r>
        <w:rPr>
          <w:rFonts w:ascii="Times New Roman" w:hAnsi="Times New Roman" w:cs="Times New Roman"/>
          <w:sz w:val="24"/>
          <w:szCs w:val="24"/>
        </w:rPr>
        <w:t xml:space="preserve"> but existing regions can disappear.</w:t>
      </w:r>
      <w:r>
        <w:rPr>
          <w:rStyle w:val="FootnoteReference"/>
          <w:rFonts w:ascii="Times New Roman" w:hAnsi="Times New Roman" w:cs="Times New Roman"/>
          <w:sz w:val="24"/>
          <w:szCs w:val="24"/>
        </w:rPr>
        <w:footnoteReference w:id="9"/>
      </w:r>
      <w:r w:rsidR="005464E8">
        <w:rPr>
          <w:rFonts w:ascii="Times New Roman" w:hAnsi="Times New Roman" w:cs="Times New Roman"/>
          <w:sz w:val="24"/>
          <w:szCs w:val="24"/>
        </w:rPr>
        <w:t xml:space="preserve"> </w:t>
      </w:r>
      <w:r>
        <w:rPr>
          <w:rFonts w:ascii="Times New Roman" w:hAnsi="Times New Roman" w:cs="Times New Roman"/>
          <w:sz w:val="24"/>
          <w:szCs w:val="24"/>
        </w:rPr>
        <w:t>Most but not all states are classified as belonging to a region at any point in time</w:t>
      </w:r>
      <w:r w:rsidR="00FC59EF">
        <w:rPr>
          <w:rFonts w:ascii="Times New Roman" w:hAnsi="Times New Roman" w:cs="Times New Roman"/>
          <w:sz w:val="24"/>
          <w:szCs w:val="24"/>
        </w:rPr>
        <w:t>, although some states do not fit into any region.</w:t>
      </w:r>
      <w:r w:rsidR="00FC59EF">
        <w:rPr>
          <w:rStyle w:val="FootnoteReference"/>
          <w:rFonts w:ascii="Times New Roman" w:hAnsi="Times New Roman" w:cs="Times New Roman"/>
          <w:sz w:val="24"/>
          <w:szCs w:val="24"/>
        </w:rPr>
        <w:footnoteReference w:id="10"/>
      </w:r>
      <w:r w:rsidR="00F30FF1">
        <w:rPr>
          <w:rFonts w:ascii="Times New Roman" w:hAnsi="Times New Roman" w:cs="Times New Roman"/>
          <w:sz w:val="24"/>
          <w:szCs w:val="24"/>
        </w:rPr>
        <w:t xml:space="preserve"> </w:t>
      </w:r>
      <w:r w:rsidR="00C30DC8">
        <w:rPr>
          <w:rFonts w:ascii="Times New Roman" w:hAnsi="Times New Roman" w:cs="Times New Roman"/>
          <w:sz w:val="24"/>
          <w:szCs w:val="24"/>
        </w:rPr>
        <w:t>Between</w:t>
      </w:r>
      <w:r w:rsidR="00F30FF1">
        <w:rPr>
          <w:rFonts w:ascii="Times New Roman" w:hAnsi="Times New Roman" w:cs="Times New Roman"/>
          <w:sz w:val="24"/>
          <w:szCs w:val="24"/>
        </w:rPr>
        <w:t xml:space="preserve"> </w:t>
      </w:r>
      <w:r w:rsidR="000C7B28">
        <w:rPr>
          <w:rFonts w:ascii="Times New Roman" w:hAnsi="Times New Roman" w:cs="Times New Roman"/>
          <w:sz w:val="24"/>
          <w:szCs w:val="24"/>
        </w:rPr>
        <w:t>1951</w:t>
      </w:r>
      <w:r w:rsidR="00F30FF1">
        <w:rPr>
          <w:rFonts w:ascii="Times New Roman" w:hAnsi="Times New Roman" w:cs="Times New Roman"/>
          <w:sz w:val="24"/>
          <w:szCs w:val="24"/>
        </w:rPr>
        <w:t>-2010</w:t>
      </w:r>
      <w:r w:rsidR="002F14C7">
        <w:rPr>
          <w:rFonts w:ascii="Times New Roman" w:hAnsi="Times New Roman" w:cs="Times New Roman"/>
          <w:sz w:val="24"/>
          <w:szCs w:val="24"/>
        </w:rPr>
        <w:t>,</w:t>
      </w:r>
      <w:r w:rsidR="00F30FF1">
        <w:rPr>
          <w:rFonts w:ascii="Times New Roman" w:hAnsi="Times New Roman" w:cs="Times New Roman"/>
          <w:sz w:val="24"/>
          <w:szCs w:val="24"/>
        </w:rPr>
        <w:t xml:space="preserve"> the number of regions var</w:t>
      </w:r>
      <w:r w:rsidR="002F14C7">
        <w:rPr>
          <w:rFonts w:ascii="Times New Roman" w:hAnsi="Times New Roman" w:cs="Times New Roman"/>
          <w:sz w:val="24"/>
          <w:szCs w:val="24"/>
        </w:rPr>
        <w:t>ies</w:t>
      </w:r>
      <w:r w:rsidR="00F30FF1">
        <w:rPr>
          <w:rFonts w:ascii="Times New Roman" w:hAnsi="Times New Roman" w:cs="Times New Roman"/>
          <w:sz w:val="24"/>
          <w:szCs w:val="24"/>
        </w:rPr>
        <w:t xml:space="preserve"> by decade, ranging from eight in the 1950s to </w:t>
      </w:r>
      <w:r w:rsidR="001E2C26">
        <w:rPr>
          <w:rFonts w:ascii="Times New Roman" w:hAnsi="Times New Roman" w:cs="Times New Roman"/>
          <w:sz w:val="24"/>
          <w:szCs w:val="24"/>
        </w:rPr>
        <w:t xml:space="preserve">11 </w:t>
      </w:r>
      <w:r w:rsidR="00F30FF1">
        <w:rPr>
          <w:rFonts w:ascii="Times New Roman" w:hAnsi="Times New Roman" w:cs="Times New Roman"/>
          <w:sz w:val="24"/>
          <w:szCs w:val="24"/>
        </w:rPr>
        <w:t>in the 2000s.</w:t>
      </w:r>
    </w:p>
    <w:p w14:paraId="5796343D" w14:textId="115178FA" w:rsidR="001E4EFA" w:rsidRDefault="00D83C21" w:rsidP="006C1228">
      <w:pPr>
        <w:spacing w:line="480" w:lineRule="auto"/>
        <w:ind w:right="-360" w:firstLine="720"/>
        <w:rPr>
          <w:rFonts w:ascii="Times New Roman" w:hAnsi="Times New Roman" w:cs="Times New Roman"/>
          <w:sz w:val="24"/>
          <w:szCs w:val="24"/>
        </w:rPr>
      </w:pPr>
      <w:r>
        <w:rPr>
          <w:rFonts w:ascii="Times New Roman" w:hAnsi="Times New Roman" w:cs="Times New Roman"/>
          <w:sz w:val="24"/>
          <w:szCs w:val="24"/>
        </w:rPr>
        <w:t xml:space="preserve">In this context, our approach to the Middle East is somewhat different than the organizing chapter in this book, which indicates three, fixed regions in the Middle East sub-system. Our empirical indicators exclude the Maghreb as part of the Middle East and treat it as a separate region </w:t>
      </w:r>
      <w:r>
        <w:rPr>
          <w:rFonts w:ascii="Times New Roman" w:hAnsi="Times New Roman" w:cs="Times New Roman"/>
          <w:sz w:val="24"/>
          <w:szCs w:val="24"/>
        </w:rPr>
        <w:lastRenderedPageBreak/>
        <w:t>when the indicators so warrant</w:t>
      </w:r>
      <w:r w:rsidR="009D0D77">
        <w:rPr>
          <w:rFonts w:ascii="Times New Roman" w:hAnsi="Times New Roman" w:cs="Times New Roman"/>
          <w:sz w:val="24"/>
          <w:szCs w:val="24"/>
        </w:rPr>
        <w:t>;</w:t>
      </w:r>
      <w:r>
        <w:rPr>
          <w:rFonts w:ascii="Times New Roman" w:hAnsi="Times New Roman" w:cs="Times New Roman"/>
          <w:sz w:val="24"/>
          <w:szCs w:val="24"/>
        </w:rPr>
        <w:t xml:space="preserve"> the </w:t>
      </w:r>
      <w:r w:rsidR="008247D1">
        <w:rPr>
          <w:rFonts w:ascii="Times New Roman" w:hAnsi="Times New Roman" w:cs="Times New Roman"/>
          <w:sz w:val="24"/>
          <w:szCs w:val="24"/>
        </w:rPr>
        <w:t xml:space="preserve">states in the </w:t>
      </w:r>
      <w:r>
        <w:rPr>
          <w:rFonts w:ascii="Times New Roman" w:hAnsi="Times New Roman" w:cs="Times New Roman"/>
          <w:sz w:val="24"/>
          <w:szCs w:val="24"/>
        </w:rPr>
        <w:t xml:space="preserve">Levant and the Gulf are typically classified as </w:t>
      </w:r>
      <w:r w:rsidR="008247D1">
        <w:rPr>
          <w:rFonts w:ascii="Times New Roman" w:hAnsi="Times New Roman" w:cs="Times New Roman"/>
          <w:sz w:val="24"/>
          <w:szCs w:val="24"/>
        </w:rPr>
        <w:t xml:space="preserve">belonging in the </w:t>
      </w:r>
      <w:r>
        <w:rPr>
          <w:rFonts w:ascii="Times New Roman" w:hAnsi="Times New Roman" w:cs="Times New Roman"/>
          <w:sz w:val="24"/>
          <w:szCs w:val="24"/>
        </w:rPr>
        <w:t>Middle East.</w:t>
      </w:r>
    </w:p>
    <w:p w14:paraId="096EE4F4" w14:textId="597ED993" w:rsidR="00CA741B" w:rsidRPr="00CA741B" w:rsidRDefault="008247D1" w:rsidP="006C1228">
      <w:pPr>
        <w:spacing w:line="480" w:lineRule="auto"/>
        <w:ind w:right="-360" w:firstLine="720"/>
        <w:rPr>
          <w:rFonts w:ascii="Times New Roman" w:hAnsi="Times New Roman" w:cs="Times New Roman"/>
          <w:sz w:val="24"/>
          <w:szCs w:val="24"/>
        </w:rPr>
      </w:pPr>
      <w:r w:rsidRPr="00CA741B">
        <w:rPr>
          <w:rFonts w:ascii="Times New Roman" w:hAnsi="Times New Roman" w:cs="Times New Roman"/>
          <w:sz w:val="24"/>
          <w:szCs w:val="24"/>
        </w:rPr>
        <w:t xml:space="preserve">We opt for delineating </w:t>
      </w:r>
      <w:r w:rsidRPr="00CC223E">
        <w:rPr>
          <w:rFonts w:ascii="Times New Roman" w:hAnsi="Times New Roman" w:cs="Times New Roman"/>
          <w:sz w:val="24"/>
          <w:szCs w:val="24"/>
        </w:rPr>
        <w:t xml:space="preserve">rivalries </w:t>
      </w:r>
      <w:r w:rsidRPr="00CA741B">
        <w:rPr>
          <w:rFonts w:ascii="Times New Roman" w:hAnsi="Times New Roman" w:cs="Times New Roman"/>
          <w:sz w:val="24"/>
          <w:szCs w:val="24"/>
        </w:rPr>
        <w:t xml:space="preserve">as strategic </w:t>
      </w:r>
      <w:r w:rsidR="00A53A79">
        <w:rPr>
          <w:rFonts w:ascii="Times New Roman" w:hAnsi="Times New Roman" w:cs="Times New Roman"/>
          <w:sz w:val="24"/>
          <w:szCs w:val="24"/>
        </w:rPr>
        <w:t>rivalries</w:t>
      </w:r>
      <w:r w:rsidR="00A53A79" w:rsidRPr="00CA741B">
        <w:rPr>
          <w:rFonts w:ascii="Times New Roman" w:hAnsi="Times New Roman" w:cs="Times New Roman"/>
          <w:sz w:val="24"/>
          <w:szCs w:val="24"/>
        </w:rPr>
        <w:t xml:space="preserve"> </w:t>
      </w:r>
      <w:r w:rsidRPr="00CA741B">
        <w:rPr>
          <w:rFonts w:ascii="Times New Roman" w:hAnsi="Times New Roman" w:cs="Times New Roman"/>
          <w:sz w:val="24"/>
          <w:szCs w:val="24"/>
        </w:rPr>
        <w:t xml:space="preserve">consistent with </w:t>
      </w:r>
      <w:r w:rsidR="001E2C26">
        <w:rPr>
          <w:rFonts w:ascii="Times New Roman" w:hAnsi="Times New Roman" w:cs="Times New Roman"/>
          <w:sz w:val="24"/>
          <w:szCs w:val="24"/>
        </w:rPr>
        <w:t xml:space="preserve">the conceptualization and measurement </w:t>
      </w:r>
      <w:r w:rsidR="00B30311">
        <w:rPr>
          <w:rFonts w:ascii="Times New Roman" w:hAnsi="Times New Roman" w:cs="Times New Roman"/>
          <w:sz w:val="24"/>
          <w:szCs w:val="24"/>
        </w:rPr>
        <w:t xml:space="preserve">offered by </w:t>
      </w:r>
      <w:r w:rsidR="001E2C26">
        <w:rPr>
          <w:rFonts w:ascii="Times New Roman" w:hAnsi="Times New Roman" w:cs="Times New Roman"/>
          <w:sz w:val="24"/>
          <w:szCs w:val="24"/>
        </w:rPr>
        <w:t>Thompson (2001, 2008) and Thompson and Dreyer (2011).</w:t>
      </w:r>
      <w:r w:rsidRPr="00CA741B">
        <w:rPr>
          <w:rFonts w:ascii="Times New Roman" w:hAnsi="Times New Roman" w:cs="Times New Roman"/>
          <w:sz w:val="24"/>
          <w:szCs w:val="24"/>
        </w:rPr>
        <w:t xml:space="preserve"> </w:t>
      </w:r>
      <w:r w:rsidR="00CA741B" w:rsidRPr="00CC223E">
        <w:rPr>
          <w:rFonts w:ascii="Times New Roman" w:hAnsi="Times New Roman" w:cs="Times New Roman"/>
          <w:sz w:val="24"/>
          <w:szCs w:val="24"/>
        </w:rPr>
        <w:t xml:space="preserve">We also identify rivalry fields (Thompson </w:t>
      </w:r>
      <w:r w:rsidR="009D0D77">
        <w:rPr>
          <w:rFonts w:ascii="Times New Roman" w:hAnsi="Times New Roman" w:cs="Times New Roman"/>
          <w:sz w:val="24"/>
          <w:szCs w:val="24"/>
        </w:rPr>
        <w:t>20</w:t>
      </w:r>
      <w:r w:rsidR="00CA741B" w:rsidRPr="00CC223E">
        <w:rPr>
          <w:rFonts w:ascii="Times New Roman" w:hAnsi="Times New Roman" w:cs="Times New Roman"/>
          <w:sz w:val="24"/>
          <w:szCs w:val="24"/>
        </w:rPr>
        <w:t>18) as the overarching, prevailing pattern of rivalries within a single region.</w:t>
      </w:r>
      <w:r w:rsidR="005464E8">
        <w:rPr>
          <w:rFonts w:ascii="Times New Roman" w:hAnsi="Times New Roman" w:cs="Times New Roman"/>
          <w:sz w:val="24"/>
          <w:szCs w:val="24"/>
        </w:rPr>
        <w:t xml:space="preserve"> </w:t>
      </w:r>
      <w:r w:rsidR="00CA741B" w:rsidRPr="00CC223E">
        <w:rPr>
          <w:rFonts w:ascii="Times New Roman" w:hAnsi="Times New Roman" w:cs="Times New Roman"/>
          <w:sz w:val="24"/>
          <w:szCs w:val="24"/>
        </w:rPr>
        <w:t>Rivalry fields are distinct from individual rivalries in that the field is thought to condition each region member’s behaviors even if a member is not a party to any rivalries within its region.</w:t>
      </w:r>
      <w:r w:rsidR="005464E8">
        <w:rPr>
          <w:rFonts w:ascii="Times New Roman" w:hAnsi="Times New Roman" w:cs="Times New Roman"/>
          <w:sz w:val="24"/>
          <w:szCs w:val="24"/>
        </w:rPr>
        <w:t xml:space="preserve"> </w:t>
      </w:r>
      <w:r w:rsidR="00CA741B" w:rsidRPr="00CC223E">
        <w:rPr>
          <w:rFonts w:ascii="Times New Roman" w:hAnsi="Times New Roman" w:cs="Times New Roman"/>
          <w:sz w:val="24"/>
          <w:szCs w:val="24"/>
        </w:rPr>
        <w:t>As an example, during the 1960s, Lebanon ha</w:t>
      </w:r>
      <w:r w:rsidR="009D0D77">
        <w:rPr>
          <w:rFonts w:ascii="Times New Roman" w:hAnsi="Times New Roman" w:cs="Times New Roman"/>
          <w:sz w:val="24"/>
          <w:szCs w:val="24"/>
        </w:rPr>
        <w:t>d</w:t>
      </w:r>
      <w:r w:rsidR="00CA741B" w:rsidRPr="00CC223E">
        <w:rPr>
          <w:rFonts w:ascii="Times New Roman" w:hAnsi="Times New Roman" w:cs="Times New Roman"/>
          <w:sz w:val="24"/>
          <w:szCs w:val="24"/>
        </w:rPr>
        <w:t xml:space="preserve"> no rivalries in the Middle East but </w:t>
      </w:r>
      <w:r w:rsidR="009D0D77">
        <w:rPr>
          <w:rFonts w:ascii="Times New Roman" w:hAnsi="Times New Roman" w:cs="Times New Roman"/>
          <w:sz w:val="24"/>
          <w:szCs w:val="24"/>
        </w:rPr>
        <w:t>was</w:t>
      </w:r>
      <w:r w:rsidR="00CA741B" w:rsidRPr="00CC223E">
        <w:rPr>
          <w:rFonts w:ascii="Times New Roman" w:hAnsi="Times New Roman" w:cs="Times New Roman"/>
          <w:sz w:val="24"/>
          <w:szCs w:val="24"/>
        </w:rPr>
        <w:t xml:space="preserve"> nonetheless conditioned by the dense rivalry field of the Middle East (see Figure </w:t>
      </w:r>
      <w:r w:rsidR="002F182F">
        <w:rPr>
          <w:rFonts w:ascii="Times New Roman" w:hAnsi="Times New Roman" w:cs="Times New Roman"/>
          <w:sz w:val="24"/>
          <w:szCs w:val="24"/>
        </w:rPr>
        <w:t>10</w:t>
      </w:r>
      <w:r w:rsidR="00CA741B" w:rsidRPr="00CC223E">
        <w:rPr>
          <w:rFonts w:ascii="Times New Roman" w:hAnsi="Times New Roman" w:cs="Times New Roman"/>
          <w:sz w:val="24"/>
          <w:szCs w:val="24"/>
        </w:rPr>
        <w:t>).</w:t>
      </w:r>
      <w:r w:rsidR="005464E8">
        <w:rPr>
          <w:rFonts w:ascii="Times New Roman" w:hAnsi="Times New Roman" w:cs="Times New Roman"/>
          <w:sz w:val="24"/>
          <w:szCs w:val="24"/>
        </w:rPr>
        <w:t xml:space="preserve"> </w:t>
      </w:r>
      <w:r w:rsidR="00CA741B" w:rsidRPr="00CC223E">
        <w:rPr>
          <w:rFonts w:ascii="Times New Roman" w:hAnsi="Times New Roman" w:cs="Times New Roman"/>
          <w:sz w:val="24"/>
          <w:szCs w:val="24"/>
        </w:rPr>
        <w:t>The density of the rivalry field refers to the extent of rivalries within said region.</w:t>
      </w:r>
    </w:p>
    <w:p w14:paraId="2B3649FE" w14:textId="4AD973AD" w:rsidR="00C81E27" w:rsidRDefault="00CA741B" w:rsidP="006C1228">
      <w:pPr>
        <w:spacing w:line="480" w:lineRule="auto"/>
        <w:ind w:right="-360" w:firstLine="720"/>
        <w:rPr>
          <w:rFonts w:ascii="Times New Roman" w:hAnsi="Times New Roman" w:cs="Times New Roman"/>
          <w:sz w:val="24"/>
          <w:szCs w:val="24"/>
        </w:rPr>
      </w:pPr>
      <w:r>
        <w:rPr>
          <w:rFonts w:ascii="Times New Roman" w:hAnsi="Times New Roman" w:cs="Times New Roman"/>
          <w:sz w:val="24"/>
          <w:szCs w:val="24"/>
        </w:rPr>
        <w:t xml:space="preserve">As a second key concept, </w:t>
      </w:r>
      <w:r w:rsidRPr="00CA741B">
        <w:rPr>
          <w:rFonts w:ascii="Times New Roman" w:hAnsi="Times New Roman" w:cs="Times New Roman"/>
          <w:sz w:val="24"/>
          <w:szCs w:val="24"/>
        </w:rPr>
        <w:t>p</w:t>
      </w:r>
      <w:r w:rsidR="00C81E27" w:rsidRPr="001B4EDF">
        <w:rPr>
          <w:rFonts w:ascii="Times New Roman" w:hAnsi="Times New Roman" w:cs="Times New Roman"/>
          <w:sz w:val="24"/>
          <w:szCs w:val="24"/>
        </w:rPr>
        <w:t>olitical shock</w:t>
      </w:r>
      <w:r w:rsidR="00E31581">
        <w:rPr>
          <w:rFonts w:ascii="Times New Roman" w:hAnsi="Times New Roman" w:cs="Times New Roman"/>
          <w:sz w:val="24"/>
          <w:szCs w:val="24"/>
        </w:rPr>
        <w:t>s</w:t>
      </w:r>
      <w:r w:rsidR="00CC223E">
        <w:rPr>
          <w:rFonts w:ascii="Times New Roman" w:hAnsi="Times New Roman" w:cs="Times New Roman"/>
          <w:sz w:val="24"/>
          <w:szCs w:val="24"/>
        </w:rPr>
        <w:t xml:space="preserve"> </w:t>
      </w:r>
      <w:r w:rsidR="00E31581">
        <w:rPr>
          <w:rFonts w:ascii="Times New Roman" w:hAnsi="Times New Roman" w:cs="Times New Roman"/>
          <w:sz w:val="24"/>
          <w:szCs w:val="24"/>
        </w:rPr>
        <w:t xml:space="preserve">are </w:t>
      </w:r>
      <w:r w:rsidR="00C81E27">
        <w:rPr>
          <w:rFonts w:ascii="Times New Roman" w:hAnsi="Times New Roman" w:cs="Times New Roman"/>
          <w:sz w:val="24"/>
          <w:szCs w:val="24"/>
        </w:rPr>
        <w:t>defined as large, abrupt, unanticipated, major political disturbance</w:t>
      </w:r>
      <w:r w:rsidR="00E31581">
        <w:rPr>
          <w:rFonts w:ascii="Times New Roman" w:hAnsi="Times New Roman" w:cs="Times New Roman"/>
          <w:sz w:val="24"/>
          <w:szCs w:val="24"/>
        </w:rPr>
        <w:t>s</w:t>
      </w:r>
      <w:r w:rsidR="00C81E27">
        <w:rPr>
          <w:rFonts w:ascii="Times New Roman" w:hAnsi="Times New Roman" w:cs="Times New Roman"/>
          <w:sz w:val="24"/>
          <w:szCs w:val="24"/>
        </w:rPr>
        <w:t xml:space="preserve"> to domestic, regional, or global environments (Diehl and Goertz 2001). Although shocks have tremendous potential </w:t>
      </w:r>
      <w:r w:rsidR="00E31581">
        <w:rPr>
          <w:rFonts w:ascii="Times New Roman" w:hAnsi="Times New Roman" w:cs="Times New Roman"/>
          <w:sz w:val="24"/>
          <w:szCs w:val="24"/>
        </w:rPr>
        <w:t>to</w:t>
      </w:r>
      <w:r w:rsidR="00C81E27">
        <w:rPr>
          <w:rFonts w:ascii="Times New Roman" w:hAnsi="Times New Roman" w:cs="Times New Roman"/>
          <w:sz w:val="24"/>
          <w:szCs w:val="24"/>
        </w:rPr>
        <w:t xml:space="preserve"> alter inter-state relations by cutting through path dependencies and policymakers’ inertia, </w:t>
      </w:r>
      <w:r w:rsidR="00CC223E">
        <w:rPr>
          <w:rFonts w:ascii="Times New Roman" w:hAnsi="Times New Roman" w:cs="Times New Roman"/>
          <w:sz w:val="24"/>
          <w:szCs w:val="24"/>
        </w:rPr>
        <w:t>they</w:t>
      </w:r>
      <w:r w:rsidR="00C81E27">
        <w:rPr>
          <w:rFonts w:ascii="Times New Roman" w:hAnsi="Times New Roman" w:cs="Times New Roman"/>
          <w:sz w:val="24"/>
          <w:szCs w:val="24"/>
        </w:rPr>
        <w:t xml:space="preserve"> ha</w:t>
      </w:r>
      <w:r w:rsidR="00CC223E">
        <w:rPr>
          <w:rFonts w:ascii="Times New Roman" w:hAnsi="Times New Roman" w:cs="Times New Roman"/>
          <w:sz w:val="24"/>
          <w:szCs w:val="24"/>
        </w:rPr>
        <w:t>ve</w:t>
      </w:r>
      <w:r w:rsidR="00C81E27">
        <w:rPr>
          <w:rFonts w:ascii="Times New Roman" w:hAnsi="Times New Roman" w:cs="Times New Roman"/>
          <w:sz w:val="24"/>
          <w:szCs w:val="24"/>
        </w:rPr>
        <w:t xml:space="preserve"> not been systematically studied, nor is there a semblance of agreement over </w:t>
      </w:r>
      <w:r w:rsidR="00E31581">
        <w:rPr>
          <w:rFonts w:ascii="Times New Roman" w:hAnsi="Times New Roman" w:cs="Times New Roman"/>
          <w:sz w:val="24"/>
          <w:szCs w:val="24"/>
        </w:rPr>
        <w:t xml:space="preserve">their </w:t>
      </w:r>
      <w:r w:rsidR="00C81E27">
        <w:rPr>
          <w:rFonts w:ascii="Times New Roman" w:hAnsi="Times New Roman" w:cs="Times New Roman"/>
          <w:sz w:val="24"/>
          <w:szCs w:val="24"/>
        </w:rPr>
        <w:t>definition and method of identification.</w:t>
      </w:r>
      <w:r w:rsidR="00C81E27">
        <w:rPr>
          <w:rStyle w:val="FootnoteReference"/>
          <w:rFonts w:ascii="Times New Roman" w:hAnsi="Times New Roman" w:cs="Times New Roman"/>
          <w:sz w:val="24"/>
          <w:szCs w:val="24"/>
        </w:rPr>
        <w:footnoteReference w:id="11"/>
      </w:r>
      <w:r w:rsidR="00C81E27">
        <w:rPr>
          <w:rFonts w:ascii="Times New Roman" w:hAnsi="Times New Roman" w:cs="Times New Roman"/>
          <w:sz w:val="24"/>
          <w:szCs w:val="24"/>
        </w:rPr>
        <w:t xml:space="preserve"> We chose the Diehl and Goertz definition as it appears to be most consistent with common </w:t>
      </w:r>
      <w:r w:rsidR="009D0D77">
        <w:rPr>
          <w:rFonts w:ascii="Times New Roman" w:hAnsi="Times New Roman" w:cs="Times New Roman"/>
          <w:sz w:val="24"/>
          <w:szCs w:val="24"/>
        </w:rPr>
        <w:t xml:space="preserve">scholarly </w:t>
      </w:r>
      <w:r w:rsidR="00C81E27">
        <w:rPr>
          <w:rFonts w:ascii="Times New Roman" w:hAnsi="Times New Roman" w:cs="Times New Roman"/>
          <w:sz w:val="24"/>
          <w:szCs w:val="24"/>
        </w:rPr>
        <w:t>usage.</w:t>
      </w:r>
    </w:p>
    <w:p w14:paraId="5CC15F73" w14:textId="6A834F8A" w:rsidR="00F30FF1" w:rsidRDefault="00CA741B" w:rsidP="006C1228">
      <w:pPr>
        <w:spacing w:line="480" w:lineRule="auto"/>
        <w:ind w:right="-360" w:firstLine="720"/>
        <w:rPr>
          <w:rFonts w:ascii="Times New Roman" w:hAnsi="Times New Roman" w:cs="Times New Roman"/>
          <w:sz w:val="24"/>
          <w:szCs w:val="24"/>
        </w:rPr>
      </w:pPr>
      <w:r>
        <w:rPr>
          <w:rFonts w:ascii="Times New Roman" w:hAnsi="Times New Roman" w:cs="Times New Roman"/>
          <w:sz w:val="24"/>
          <w:szCs w:val="24"/>
        </w:rPr>
        <w:t>As our third key concept, w</w:t>
      </w:r>
      <w:r w:rsidR="00F30FF1">
        <w:rPr>
          <w:rFonts w:ascii="Times New Roman" w:hAnsi="Times New Roman" w:cs="Times New Roman"/>
          <w:sz w:val="24"/>
          <w:szCs w:val="24"/>
        </w:rPr>
        <w:t xml:space="preserve">hether a region contains a </w:t>
      </w:r>
      <w:r w:rsidR="00F30FF1" w:rsidRPr="001B4EDF">
        <w:rPr>
          <w:rFonts w:ascii="Times New Roman" w:hAnsi="Times New Roman" w:cs="Times New Roman"/>
          <w:sz w:val="24"/>
          <w:szCs w:val="24"/>
        </w:rPr>
        <w:t>hierarchy</w:t>
      </w:r>
      <w:r w:rsidR="00F30FF1" w:rsidRPr="00CA741B">
        <w:rPr>
          <w:rFonts w:ascii="Times New Roman" w:hAnsi="Times New Roman" w:cs="Times New Roman"/>
          <w:sz w:val="24"/>
          <w:szCs w:val="24"/>
        </w:rPr>
        <w:t xml:space="preserve"> </w:t>
      </w:r>
      <w:r w:rsidR="00F30FF1">
        <w:rPr>
          <w:rFonts w:ascii="Times New Roman" w:hAnsi="Times New Roman" w:cs="Times New Roman"/>
          <w:sz w:val="24"/>
          <w:szCs w:val="24"/>
        </w:rPr>
        <w:t xml:space="preserve">is identified by the presence or absence of either a major power or a regional power in the region. Major and regional powers are identified consistent with Volgy et al. </w:t>
      </w:r>
      <w:r w:rsidR="00731190">
        <w:rPr>
          <w:rFonts w:ascii="Times New Roman" w:hAnsi="Times New Roman" w:cs="Times New Roman"/>
          <w:sz w:val="24"/>
          <w:szCs w:val="24"/>
        </w:rPr>
        <w:t>(</w:t>
      </w:r>
      <w:r w:rsidR="00F30FF1">
        <w:rPr>
          <w:rFonts w:ascii="Times New Roman" w:hAnsi="Times New Roman" w:cs="Times New Roman"/>
          <w:sz w:val="24"/>
          <w:szCs w:val="24"/>
        </w:rPr>
        <w:t>2011</w:t>
      </w:r>
      <w:r w:rsidR="00731190">
        <w:rPr>
          <w:rFonts w:ascii="Times New Roman" w:hAnsi="Times New Roman" w:cs="Times New Roman"/>
          <w:sz w:val="24"/>
          <w:szCs w:val="24"/>
        </w:rPr>
        <w:t>)</w:t>
      </w:r>
      <w:r w:rsidR="00F30FF1">
        <w:rPr>
          <w:rFonts w:ascii="Times New Roman" w:hAnsi="Times New Roman" w:cs="Times New Roman"/>
          <w:sz w:val="24"/>
          <w:szCs w:val="24"/>
        </w:rPr>
        <w:t xml:space="preserve">, and Cline et al. </w:t>
      </w:r>
      <w:r w:rsidR="00731190">
        <w:rPr>
          <w:rFonts w:ascii="Times New Roman" w:hAnsi="Times New Roman" w:cs="Times New Roman"/>
          <w:sz w:val="24"/>
          <w:szCs w:val="24"/>
        </w:rPr>
        <w:t>(</w:t>
      </w:r>
      <w:r w:rsidR="00F30FF1">
        <w:rPr>
          <w:rFonts w:ascii="Times New Roman" w:hAnsi="Times New Roman" w:cs="Times New Roman"/>
          <w:sz w:val="24"/>
          <w:szCs w:val="24"/>
        </w:rPr>
        <w:t>2011</w:t>
      </w:r>
      <w:r w:rsidR="00731190">
        <w:rPr>
          <w:rFonts w:ascii="Times New Roman" w:hAnsi="Times New Roman" w:cs="Times New Roman"/>
          <w:sz w:val="24"/>
          <w:szCs w:val="24"/>
        </w:rPr>
        <w:t>)</w:t>
      </w:r>
      <w:r w:rsidR="00F30FF1">
        <w:rPr>
          <w:rFonts w:ascii="Times New Roman" w:hAnsi="Times New Roman" w:cs="Times New Roman"/>
          <w:sz w:val="24"/>
          <w:szCs w:val="24"/>
        </w:rPr>
        <w:t xml:space="preserve">. </w:t>
      </w:r>
    </w:p>
    <w:p w14:paraId="0177B83E" w14:textId="77777777" w:rsidR="00EA7633" w:rsidRDefault="00EA7633" w:rsidP="005464E8">
      <w:pPr>
        <w:spacing w:line="480" w:lineRule="auto"/>
        <w:ind w:right="-360"/>
        <w:outlineLvl w:val="0"/>
        <w:rPr>
          <w:rFonts w:ascii="Times New Roman" w:hAnsi="Times New Roman" w:cs="Times New Roman"/>
          <w:b/>
          <w:i/>
          <w:sz w:val="24"/>
          <w:szCs w:val="24"/>
        </w:rPr>
      </w:pPr>
      <w:r w:rsidRPr="00A17A37">
        <w:rPr>
          <w:rFonts w:ascii="Times New Roman" w:hAnsi="Times New Roman" w:cs="Times New Roman"/>
          <w:b/>
          <w:i/>
          <w:sz w:val="24"/>
          <w:szCs w:val="24"/>
        </w:rPr>
        <w:t>Placing Rivalries in Context</w:t>
      </w:r>
    </w:p>
    <w:p w14:paraId="789477DE" w14:textId="726DBF28" w:rsidR="00CA741B" w:rsidRDefault="00CA741B" w:rsidP="00CA741B">
      <w:pPr>
        <w:spacing w:line="480" w:lineRule="auto"/>
        <w:ind w:right="-360" w:firstLine="720"/>
        <w:rPr>
          <w:rFonts w:ascii="Times New Roman" w:hAnsi="Times New Roman" w:cs="Times New Roman"/>
          <w:sz w:val="24"/>
          <w:szCs w:val="24"/>
        </w:rPr>
      </w:pPr>
      <w:r>
        <w:rPr>
          <w:rFonts w:ascii="Times New Roman" w:hAnsi="Times New Roman" w:cs="Times New Roman"/>
          <w:sz w:val="24"/>
          <w:szCs w:val="24"/>
        </w:rPr>
        <w:lastRenderedPageBreak/>
        <w:t xml:space="preserve">Why is the Middle East the most conflict-prone of all regions (Volgy et al. 2017b)? Is it due to the nature of </w:t>
      </w:r>
      <w:r w:rsidR="009D0D77">
        <w:rPr>
          <w:rFonts w:ascii="Times New Roman" w:hAnsi="Times New Roman" w:cs="Times New Roman"/>
          <w:sz w:val="24"/>
          <w:szCs w:val="24"/>
        </w:rPr>
        <w:t xml:space="preserve">regional </w:t>
      </w:r>
      <w:r>
        <w:rPr>
          <w:rFonts w:ascii="Times New Roman" w:hAnsi="Times New Roman" w:cs="Times New Roman"/>
          <w:sz w:val="24"/>
          <w:szCs w:val="24"/>
        </w:rPr>
        <w:t xml:space="preserve">inter-state rivalries? Or, does the presence of other fault lines or the absence of pacifying conditions better explain the prevalence of conflict? Consistent with our perspective and the framework outlined above, we begin by asking about the relationship between rivalries and conflict (one of three fault lines identified in our framework), regardless of the region in which those rivalries are situated. </w:t>
      </w:r>
    </w:p>
    <w:p w14:paraId="33600DCD" w14:textId="366B72A4" w:rsidR="00636BD8" w:rsidRDefault="00DE1694" w:rsidP="00636BD8">
      <w:pPr>
        <w:spacing w:line="480" w:lineRule="auto"/>
        <w:ind w:right="-360" w:firstLine="720"/>
        <w:rPr>
          <w:rFonts w:ascii="Times New Roman" w:hAnsi="Times New Roman" w:cs="Times New Roman"/>
          <w:sz w:val="24"/>
          <w:szCs w:val="24"/>
        </w:rPr>
      </w:pPr>
      <w:r>
        <w:rPr>
          <w:rFonts w:ascii="Times New Roman" w:hAnsi="Times New Roman" w:cs="Times New Roman"/>
          <w:sz w:val="24"/>
          <w:szCs w:val="24"/>
        </w:rPr>
        <w:t xml:space="preserve">At first glance it is clear that a close relationship </w:t>
      </w:r>
      <w:r w:rsidR="00BB00BB">
        <w:rPr>
          <w:rFonts w:ascii="Times New Roman" w:hAnsi="Times New Roman" w:cs="Times New Roman"/>
          <w:sz w:val="24"/>
          <w:szCs w:val="24"/>
        </w:rPr>
        <w:t xml:space="preserve">exists </w:t>
      </w:r>
      <w:r>
        <w:rPr>
          <w:rFonts w:ascii="Times New Roman" w:hAnsi="Times New Roman" w:cs="Times New Roman"/>
          <w:sz w:val="24"/>
          <w:szCs w:val="24"/>
        </w:rPr>
        <w:t xml:space="preserve">between the numbers of rivalries and the extent of conflict within a region. </w:t>
      </w:r>
      <w:r w:rsidR="00636BD8">
        <w:rPr>
          <w:rFonts w:ascii="Times New Roman" w:hAnsi="Times New Roman" w:cs="Times New Roman"/>
          <w:sz w:val="24"/>
          <w:szCs w:val="24"/>
        </w:rPr>
        <w:t>The simple correlation between the number of regional rivalries and the frequency of severe regional conflict (measured as severe militarized interstate disputes, or MIDs</w:t>
      </w:r>
      <w:r w:rsidR="00E7609B">
        <w:rPr>
          <w:rFonts w:ascii="Times New Roman" w:hAnsi="Times New Roman" w:cs="Times New Roman"/>
          <w:sz w:val="24"/>
          <w:szCs w:val="24"/>
        </w:rPr>
        <w:t xml:space="preserve"> </w:t>
      </w:r>
      <w:r w:rsidR="00E7609B">
        <w:rPr>
          <w:rFonts w:ascii="Times New Roman" w:eastAsia="Times New Roman" w:hAnsi="Times New Roman" w:cs="Times New Roman"/>
          <w:sz w:val="24"/>
          <w:szCs w:val="20"/>
        </w:rPr>
        <w:t>[Palmer, D’Oranzio, Kenwick, and</w:t>
      </w:r>
      <w:r w:rsidR="00E7609B" w:rsidRPr="00876829">
        <w:rPr>
          <w:rFonts w:ascii="Times New Roman" w:eastAsia="Times New Roman" w:hAnsi="Times New Roman" w:cs="Times New Roman"/>
          <w:sz w:val="24"/>
          <w:szCs w:val="20"/>
        </w:rPr>
        <w:t xml:space="preserve"> Lane 2015</w:t>
      </w:r>
      <w:r w:rsidR="00E7609B">
        <w:rPr>
          <w:rFonts w:ascii="Times New Roman" w:eastAsia="Times New Roman" w:hAnsi="Times New Roman" w:cs="Times New Roman"/>
          <w:sz w:val="24"/>
          <w:szCs w:val="20"/>
        </w:rPr>
        <w:t>]</w:t>
      </w:r>
      <w:r w:rsidR="00636BD8">
        <w:rPr>
          <w:rFonts w:ascii="Times New Roman" w:hAnsi="Times New Roman" w:cs="Times New Roman"/>
          <w:sz w:val="24"/>
          <w:szCs w:val="24"/>
        </w:rPr>
        <w:t>) is .43; the relationship between frequency of regional rivalries and the diffusion of regional conflict (the numbers of states in the region involved with severe MIDs) is even stronger at .52.</w:t>
      </w:r>
      <w:r w:rsidR="005464E8">
        <w:rPr>
          <w:rFonts w:ascii="Times New Roman" w:hAnsi="Times New Roman" w:cs="Times New Roman"/>
          <w:sz w:val="24"/>
          <w:szCs w:val="24"/>
        </w:rPr>
        <w:t xml:space="preserve"> </w:t>
      </w:r>
      <w:r w:rsidR="00BB00BB">
        <w:rPr>
          <w:rFonts w:ascii="Times New Roman" w:hAnsi="Times New Roman" w:cs="Times New Roman"/>
          <w:sz w:val="24"/>
          <w:szCs w:val="24"/>
        </w:rPr>
        <w:t>Nonetheless, the relationship between numbers of rivalries and the extent of conflict within a region could plausibly be mitigated by other factors in our framework, and especially the presence or absence of regional hierarchy.</w:t>
      </w:r>
    </w:p>
    <w:tbl>
      <w:tblPr>
        <w:tblStyle w:val="TableGrid2"/>
        <w:tblW w:w="96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2340"/>
        <w:gridCol w:w="1586"/>
        <w:gridCol w:w="1834"/>
      </w:tblGrid>
      <w:tr w:rsidR="00BB00BB" w:rsidRPr="00AE5A72" w14:paraId="333291F0" w14:textId="77777777" w:rsidTr="00CC223E">
        <w:trPr>
          <w:jc w:val="center"/>
        </w:trPr>
        <w:tc>
          <w:tcPr>
            <w:tcW w:w="9625" w:type="dxa"/>
            <w:gridSpan w:val="4"/>
            <w:tcBorders>
              <w:bottom w:val="single" w:sz="4" w:space="0" w:color="auto"/>
            </w:tcBorders>
          </w:tcPr>
          <w:p w14:paraId="7BC79881" w14:textId="2674D4BB" w:rsidR="00BB00BB" w:rsidRPr="00AE5A72" w:rsidRDefault="00BB00BB" w:rsidP="00CC223E">
            <w:pPr>
              <w:rPr>
                <w:rFonts w:eastAsia="Calibri"/>
                <w:b/>
              </w:rPr>
            </w:pPr>
            <w:r w:rsidRPr="00AE5A72">
              <w:rPr>
                <w:rFonts w:eastAsia="Calibri"/>
                <w:b/>
              </w:rPr>
              <w:t xml:space="preserve">Table 1. Numbers of Rivalries in Regions, by Type of Region, </w:t>
            </w:r>
            <w:r w:rsidR="00337C58" w:rsidRPr="00AE5A72">
              <w:rPr>
                <w:rFonts w:eastAsia="Calibri"/>
                <w:b/>
              </w:rPr>
              <w:t>195</w:t>
            </w:r>
            <w:r w:rsidR="00337C58">
              <w:rPr>
                <w:rFonts w:eastAsia="Calibri"/>
                <w:b/>
              </w:rPr>
              <w:t>1</w:t>
            </w:r>
            <w:r w:rsidRPr="00AE5A72">
              <w:rPr>
                <w:rFonts w:eastAsia="Calibri"/>
                <w:b/>
              </w:rPr>
              <w:t>-2010.</w:t>
            </w:r>
          </w:p>
        </w:tc>
      </w:tr>
      <w:tr w:rsidR="00BB00BB" w:rsidRPr="00AE5A72" w14:paraId="7748E687" w14:textId="77777777" w:rsidTr="00CC223E">
        <w:trPr>
          <w:jc w:val="center"/>
        </w:trPr>
        <w:tc>
          <w:tcPr>
            <w:tcW w:w="3865" w:type="dxa"/>
            <w:tcBorders>
              <w:top w:val="single" w:sz="4" w:space="0" w:color="auto"/>
            </w:tcBorders>
          </w:tcPr>
          <w:p w14:paraId="36156E71" w14:textId="77777777" w:rsidR="00BB00BB" w:rsidRPr="00AE5A72" w:rsidRDefault="00BB00BB" w:rsidP="00CC223E">
            <w:pPr>
              <w:rPr>
                <w:rFonts w:eastAsia="Calibri"/>
              </w:rPr>
            </w:pPr>
          </w:p>
        </w:tc>
        <w:tc>
          <w:tcPr>
            <w:tcW w:w="2340" w:type="dxa"/>
            <w:tcBorders>
              <w:top w:val="single" w:sz="4" w:space="0" w:color="auto"/>
            </w:tcBorders>
          </w:tcPr>
          <w:p w14:paraId="6F3ABF1D" w14:textId="77777777" w:rsidR="00BB00BB" w:rsidRPr="00AE5A72" w:rsidRDefault="00BB00BB" w:rsidP="00CC223E">
            <w:pPr>
              <w:jc w:val="center"/>
              <w:rPr>
                <w:rFonts w:eastAsia="Calibri"/>
                <w:b/>
                <w:i/>
              </w:rPr>
            </w:pPr>
            <w:r w:rsidRPr="00AE5A72">
              <w:rPr>
                <w:rFonts w:eastAsia="Calibri"/>
                <w:b/>
                <w:i/>
              </w:rPr>
              <w:t>Non-Hierarchical Regions</w:t>
            </w:r>
          </w:p>
        </w:tc>
        <w:tc>
          <w:tcPr>
            <w:tcW w:w="3420" w:type="dxa"/>
            <w:gridSpan w:val="2"/>
            <w:tcBorders>
              <w:top w:val="single" w:sz="4" w:space="0" w:color="auto"/>
            </w:tcBorders>
          </w:tcPr>
          <w:p w14:paraId="3BC2A21D" w14:textId="77777777" w:rsidR="00BB00BB" w:rsidRPr="00AE5A72" w:rsidRDefault="00BB00BB" w:rsidP="00CC223E">
            <w:pPr>
              <w:jc w:val="center"/>
              <w:rPr>
                <w:rFonts w:eastAsia="Calibri"/>
                <w:b/>
                <w:i/>
              </w:rPr>
            </w:pPr>
            <w:r w:rsidRPr="00AE5A72">
              <w:rPr>
                <w:rFonts w:eastAsia="Calibri"/>
                <w:b/>
                <w:i/>
              </w:rPr>
              <w:t>Hierarchical</w:t>
            </w:r>
          </w:p>
          <w:p w14:paraId="34D1FFA3" w14:textId="77777777" w:rsidR="00BB00BB" w:rsidRPr="00AE5A72" w:rsidRDefault="00BB00BB" w:rsidP="00CC223E">
            <w:pPr>
              <w:jc w:val="center"/>
              <w:rPr>
                <w:rFonts w:eastAsia="Calibri"/>
                <w:b/>
                <w:i/>
              </w:rPr>
            </w:pPr>
            <w:r w:rsidRPr="00AE5A72">
              <w:rPr>
                <w:rFonts w:eastAsia="Calibri"/>
                <w:b/>
                <w:i/>
              </w:rPr>
              <w:t>Regions</w:t>
            </w:r>
          </w:p>
        </w:tc>
      </w:tr>
      <w:tr w:rsidR="00BB00BB" w:rsidRPr="00AE5A72" w14:paraId="33CEB34F" w14:textId="77777777" w:rsidTr="00CC223E">
        <w:trPr>
          <w:jc w:val="center"/>
        </w:trPr>
        <w:tc>
          <w:tcPr>
            <w:tcW w:w="3865" w:type="dxa"/>
          </w:tcPr>
          <w:p w14:paraId="42C0D2D6" w14:textId="77777777" w:rsidR="00BB00BB" w:rsidRPr="00AE5A72" w:rsidRDefault="00BB00BB" w:rsidP="00CC223E">
            <w:pPr>
              <w:rPr>
                <w:rFonts w:eastAsia="Calibri"/>
              </w:rPr>
            </w:pPr>
          </w:p>
        </w:tc>
        <w:tc>
          <w:tcPr>
            <w:tcW w:w="2340" w:type="dxa"/>
          </w:tcPr>
          <w:p w14:paraId="7A653714" w14:textId="77777777" w:rsidR="00BB00BB" w:rsidRPr="00AE5A72" w:rsidRDefault="00BB00BB" w:rsidP="00CC223E">
            <w:pPr>
              <w:jc w:val="center"/>
              <w:rPr>
                <w:rFonts w:eastAsia="Calibri"/>
              </w:rPr>
            </w:pPr>
          </w:p>
        </w:tc>
        <w:tc>
          <w:tcPr>
            <w:tcW w:w="1586" w:type="dxa"/>
          </w:tcPr>
          <w:p w14:paraId="17FEE438" w14:textId="77777777" w:rsidR="00BB00BB" w:rsidRPr="00AE5A72" w:rsidRDefault="00BB00BB" w:rsidP="00CC223E">
            <w:pPr>
              <w:jc w:val="center"/>
              <w:rPr>
                <w:rFonts w:eastAsia="Calibri"/>
              </w:rPr>
            </w:pPr>
            <w:r w:rsidRPr="00AE5A72">
              <w:rPr>
                <w:rFonts w:eastAsia="Calibri"/>
              </w:rPr>
              <w:t>Major Power</w:t>
            </w:r>
          </w:p>
        </w:tc>
        <w:tc>
          <w:tcPr>
            <w:tcW w:w="1834" w:type="dxa"/>
          </w:tcPr>
          <w:p w14:paraId="2885E5D4" w14:textId="77777777" w:rsidR="00BB00BB" w:rsidRPr="00AE5A72" w:rsidRDefault="00BB00BB" w:rsidP="00CC223E">
            <w:pPr>
              <w:jc w:val="center"/>
              <w:rPr>
                <w:rFonts w:eastAsia="Calibri"/>
              </w:rPr>
            </w:pPr>
            <w:r w:rsidRPr="00AE5A72">
              <w:rPr>
                <w:rFonts w:eastAsia="Calibri"/>
              </w:rPr>
              <w:t>Regional Power</w:t>
            </w:r>
          </w:p>
        </w:tc>
      </w:tr>
      <w:tr w:rsidR="00BB00BB" w:rsidRPr="00AE5A72" w14:paraId="0512B3AE" w14:textId="77777777" w:rsidTr="00CC223E">
        <w:trPr>
          <w:trHeight w:val="233"/>
          <w:jc w:val="center"/>
        </w:trPr>
        <w:tc>
          <w:tcPr>
            <w:tcW w:w="3865" w:type="dxa"/>
            <w:tcBorders>
              <w:bottom w:val="single" w:sz="4" w:space="0" w:color="auto"/>
            </w:tcBorders>
          </w:tcPr>
          <w:p w14:paraId="1BC1A782" w14:textId="77777777" w:rsidR="00BB00BB" w:rsidRDefault="00BB00BB" w:rsidP="00CC223E">
            <w:pPr>
              <w:rPr>
                <w:rFonts w:eastAsia="Calibri"/>
              </w:rPr>
            </w:pPr>
            <w:r>
              <w:rPr>
                <w:rFonts w:eastAsia="Calibri"/>
              </w:rPr>
              <w:t>Mean Number of Rivalries</w:t>
            </w:r>
          </w:p>
          <w:p w14:paraId="6F43D67A" w14:textId="77777777" w:rsidR="00BB00BB" w:rsidRPr="00AE5A72" w:rsidRDefault="00BB00BB" w:rsidP="00CC223E">
            <w:pPr>
              <w:rPr>
                <w:rFonts w:eastAsia="Calibri"/>
              </w:rPr>
            </w:pPr>
            <w:r>
              <w:rPr>
                <w:rFonts w:eastAsia="Calibri"/>
              </w:rPr>
              <w:t>per R</w:t>
            </w:r>
            <w:r w:rsidRPr="00AE5A72">
              <w:rPr>
                <w:rFonts w:eastAsia="Calibri"/>
              </w:rPr>
              <w:t>egion</w:t>
            </w:r>
          </w:p>
        </w:tc>
        <w:tc>
          <w:tcPr>
            <w:tcW w:w="2340" w:type="dxa"/>
            <w:tcBorders>
              <w:bottom w:val="single" w:sz="4" w:space="0" w:color="auto"/>
            </w:tcBorders>
            <w:vAlign w:val="center"/>
          </w:tcPr>
          <w:p w14:paraId="188805A0" w14:textId="77777777" w:rsidR="00BB00BB" w:rsidRPr="00AE5A72" w:rsidRDefault="00BB00BB" w:rsidP="00CC223E">
            <w:pPr>
              <w:jc w:val="center"/>
              <w:rPr>
                <w:rFonts w:eastAsia="Calibri"/>
              </w:rPr>
            </w:pPr>
            <w:r w:rsidRPr="00AE5A72">
              <w:rPr>
                <w:rFonts w:eastAsia="Calibri"/>
              </w:rPr>
              <w:t>5.17</w:t>
            </w:r>
          </w:p>
        </w:tc>
        <w:tc>
          <w:tcPr>
            <w:tcW w:w="1586" w:type="dxa"/>
            <w:tcBorders>
              <w:bottom w:val="single" w:sz="4" w:space="0" w:color="auto"/>
            </w:tcBorders>
            <w:vAlign w:val="center"/>
          </w:tcPr>
          <w:p w14:paraId="354C95FB" w14:textId="77777777" w:rsidR="00BB00BB" w:rsidRPr="00AE5A72" w:rsidRDefault="00BB00BB" w:rsidP="00CC223E">
            <w:pPr>
              <w:jc w:val="center"/>
              <w:rPr>
                <w:rFonts w:eastAsia="Calibri"/>
              </w:rPr>
            </w:pPr>
            <w:r w:rsidRPr="00AE5A72">
              <w:rPr>
                <w:rFonts w:eastAsia="Calibri"/>
              </w:rPr>
              <w:t>2.91</w:t>
            </w:r>
          </w:p>
        </w:tc>
        <w:tc>
          <w:tcPr>
            <w:tcW w:w="1834" w:type="dxa"/>
            <w:tcBorders>
              <w:bottom w:val="single" w:sz="4" w:space="0" w:color="auto"/>
            </w:tcBorders>
            <w:vAlign w:val="center"/>
          </w:tcPr>
          <w:p w14:paraId="56228344" w14:textId="77777777" w:rsidR="00BB00BB" w:rsidRPr="00AE5A72" w:rsidRDefault="00BB00BB" w:rsidP="00CC223E">
            <w:pPr>
              <w:jc w:val="center"/>
              <w:rPr>
                <w:rFonts w:eastAsia="Calibri"/>
              </w:rPr>
            </w:pPr>
            <w:r w:rsidRPr="00AE5A72">
              <w:rPr>
                <w:rFonts w:eastAsia="Calibri"/>
              </w:rPr>
              <w:t>1.42</w:t>
            </w:r>
          </w:p>
        </w:tc>
      </w:tr>
    </w:tbl>
    <w:p w14:paraId="546740D1" w14:textId="77777777" w:rsidR="00992B72" w:rsidRDefault="00992B72" w:rsidP="00992B72">
      <w:pPr>
        <w:pStyle w:val="NoSpacing"/>
      </w:pPr>
    </w:p>
    <w:p w14:paraId="182E7549" w14:textId="774B4ACD" w:rsidR="00992B72" w:rsidRDefault="00992B72" w:rsidP="00EA7633">
      <w:pPr>
        <w:spacing w:line="480" w:lineRule="auto"/>
        <w:ind w:right="-360" w:firstLine="720"/>
        <w:rPr>
          <w:rFonts w:ascii="Times New Roman" w:hAnsi="Times New Roman" w:cs="Times New Roman"/>
          <w:sz w:val="24"/>
          <w:szCs w:val="24"/>
        </w:rPr>
      </w:pPr>
      <w:r>
        <w:rPr>
          <w:rFonts w:ascii="Times New Roman" w:hAnsi="Times New Roman" w:cs="Times New Roman"/>
          <w:sz w:val="24"/>
          <w:szCs w:val="24"/>
        </w:rPr>
        <w:t>Can the presence of hierarchy have a</w:t>
      </w:r>
      <w:r w:rsidR="00F95D6C">
        <w:rPr>
          <w:rFonts w:ascii="Times New Roman" w:hAnsi="Times New Roman" w:cs="Times New Roman"/>
          <w:sz w:val="24"/>
          <w:szCs w:val="24"/>
        </w:rPr>
        <w:t xml:space="preserve"> mitigating impact on </w:t>
      </w:r>
      <w:r>
        <w:rPr>
          <w:rFonts w:ascii="Times New Roman" w:hAnsi="Times New Roman" w:cs="Times New Roman"/>
          <w:sz w:val="24"/>
          <w:szCs w:val="24"/>
        </w:rPr>
        <w:t xml:space="preserve">the number of rivalries? Our data suggest that it may. Table 1 compares the frequency of rivalries across regions, controlling for hierarchy. There is clearly a substantial difference in the frequency of rivalries across types of regions: non-hierarchical </w:t>
      </w:r>
      <w:r w:rsidR="00BB00BB">
        <w:rPr>
          <w:rFonts w:ascii="Times New Roman" w:hAnsi="Times New Roman" w:cs="Times New Roman"/>
          <w:sz w:val="24"/>
          <w:szCs w:val="24"/>
        </w:rPr>
        <w:t>regions</w:t>
      </w:r>
      <w:r>
        <w:rPr>
          <w:rFonts w:ascii="Times New Roman" w:hAnsi="Times New Roman" w:cs="Times New Roman"/>
          <w:sz w:val="24"/>
          <w:szCs w:val="24"/>
        </w:rPr>
        <w:t xml:space="preserve"> experience a substantially greater frequency of rivalries than do </w:t>
      </w:r>
      <w:r>
        <w:rPr>
          <w:rFonts w:ascii="Times New Roman" w:hAnsi="Times New Roman" w:cs="Times New Roman"/>
          <w:sz w:val="24"/>
          <w:szCs w:val="24"/>
        </w:rPr>
        <w:lastRenderedPageBreak/>
        <w:t>regions containing dominant powers.</w:t>
      </w:r>
      <w:r w:rsidR="009D0D77">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w:t>
      </w:r>
      <w:r w:rsidR="00941351">
        <w:rPr>
          <w:rFonts w:ascii="Times New Roman" w:hAnsi="Times New Roman" w:cs="Times New Roman"/>
          <w:sz w:val="24"/>
          <w:szCs w:val="24"/>
        </w:rPr>
        <w:t>Of course</w:t>
      </w:r>
      <w:r w:rsidR="00555CC1">
        <w:rPr>
          <w:rFonts w:ascii="Times New Roman" w:hAnsi="Times New Roman" w:cs="Times New Roman"/>
          <w:sz w:val="24"/>
          <w:szCs w:val="24"/>
        </w:rPr>
        <w:t>,</w:t>
      </w:r>
      <w:r w:rsidR="00941351">
        <w:rPr>
          <w:rFonts w:ascii="Times New Roman" w:hAnsi="Times New Roman" w:cs="Times New Roman"/>
          <w:sz w:val="24"/>
          <w:szCs w:val="24"/>
        </w:rPr>
        <w:t xml:space="preserve"> such limited </w:t>
      </w:r>
      <w:r w:rsidR="00BB00BB">
        <w:rPr>
          <w:rFonts w:ascii="Times New Roman" w:hAnsi="Times New Roman" w:cs="Times New Roman"/>
          <w:sz w:val="24"/>
          <w:szCs w:val="24"/>
        </w:rPr>
        <w:t>analysis</w:t>
      </w:r>
      <w:r w:rsidR="00941351">
        <w:rPr>
          <w:rFonts w:ascii="Times New Roman" w:hAnsi="Times New Roman" w:cs="Times New Roman"/>
          <w:sz w:val="24"/>
          <w:szCs w:val="24"/>
        </w:rPr>
        <w:t xml:space="preserve"> do</w:t>
      </w:r>
      <w:r w:rsidR="00BB00BB">
        <w:rPr>
          <w:rFonts w:ascii="Times New Roman" w:hAnsi="Times New Roman" w:cs="Times New Roman"/>
          <w:sz w:val="24"/>
          <w:szCs w:val="24"/>
        </w:rPr>
        <w:t>es</w:t>
      </w:r>
      <w:r w:rsidR="00941351">
        <w:rPr>
          <w:rFonts w:ascii="Times New Roman" w:hAnsi="Times New Roman" w:cs="Times New Roman"/>
          <w:sz w:val="24"/>
          <w:szCs w:val="24"/>
        </w:rPr>
        <w:t xml:space="preserve"> not allow us to tell anything about </w:t>
      </w:r>
      <w:r w:rsidR="00A86788">
        <w:rPr>
          <w:rFonts w:ascii="Times New Roman" w:hAnsi="Times New Roman" w:cs="Times New Roman"/>
          <w:sz w:val="24"/>
          <w:szCs w:val="24"/>
        </w:rPr>
        <w:t xml:space="preserve">the </w:t>
      </w:r>
      <w:r w:rsidR="00F82660">
        <w:rPr>
          <w:rFonts w:ascii="Times New Roman" w:hAnsi="Times New Roman" w:cs="Times New Roman"/>
          <w:sz w:val="24"/>
          <w:szCs w:val="24"/>
        </w:rPr>
        <w:t xml:space="preserve">direction of impact. </w:t>
      </w:r>
      <w:r w:rsidR="00941351">
        <w:rPr>
          <w:rFonts w:ascii="Times New Roman" w:hAnsi="Times New Roman" w:cs="Times New Roman"/>
          <w:sz w:val="24"/>
          <w:szCs w:val="24"/>
        </w:rPr>
        <w:t xml:space="preserve">It is just as likely that large numbers of rivalries in a region inhibit the rise of major or regional powers as it is that such dominant states successfully suppress or even preempt strategic rivalries from emerging in their regions. What we can tell, however, is that </w:t>
      </w:r>
      <w:r w:rsidR="003E73C5">
        <w:rPr>
          <w:rFonts w:ascii="Times New Roman" w:hAnsi="Times New Roman" w:cs="Times New Roman"/>
          <w:sz w:val="24"/>
          <w:szCs w:val="24"/>
        </w:rPr>
        <w:t>both the frequency of rivalries and the presence of hierarchy matter in assessing whether some regions are more conflict</w:t>
      </w:r>
      <w:r w:rsidR="00A86788">
        <w:rPr>
          <w:rFonts w:ascii="Times New Roman" w:hAnsi="Times New Roman" w:cs="Times New Roman"/>
          <w:sz w:val="24"/>
          <w:szCs w:val="24"/>
        </w:rPr>
        <w:t>-</w:t>
      </w:r>
      <w:r w:rsidR="003E73C5">
        <w:rPr>
          <w:rFonts w:ascii="Times New Roman" w:hAnsi="Times New Roman" w:cs="Times New Roman"/>
          <w:sz w:val="24"/>
          <w:szCs w:val="24"/>
        </w:rPr>
        <w:t>prone than others.</w:t>
      </w:r>
    </w:p>
    <w:p w14:paraId="49561F73" w14:textId="406F808A" w:rsidR="000375EB" w:rsidRDefault="000375EB" w:rsidP="00EA7633">
      <w:pPr>
        <w:spacing w:line="480" w:lineRule="auto"/>
        <w:ind w:right="-360" w:firstLine="720"/>
        <w:rPr>
          <w:rFonts w:ascii="Times New Roman" w:hAnsi="Times New Roman" w:cs="Times New Roman"/>
          <w:sz w:val="24"/>
          <w:szCs w:val="24"/>
        </w:rPr>
      </w:pPr>
      <w:r>
        <w:rPr>
          <w:rFonts w:ascii="Times New Roman" w:hAnsi="Times New Roman" w:cs="Times New Roman"/>
          <w:sz w:val="24"/>
          <w:szCs w:val="24"/>
        </w:rPr>
        <w:t>Table 2 assesses these relationships further by integrating a broader range of considerations into the equation, consistent with our theoretical perspective. The table now contains three variables associated with what we consider to be regional fault lines (rivalries, civil wars, and territorial claims), three indicators corresponding to regional</w:t>
      </w:r>
      <w:r w:rsidR="00DA77F2">
        <w:rPr>
          <w:rFonts w:ascii="Times New Roman" w:hAnsi="Times New Roman" w:cs="Times New Roman"/>
          <w:sz w:val="24"/>
          <w:szCs w:val="24"/>
        </w:rPr>
        <w:t>ly</w:t>
      </w:r>
      <w:r>
        <w:rPr>
          <w:rFonts w:ascii="Times New Roman" w:hAnsi="Times New Roman" w:cs="Times New Roman"/>
          <w:sz w:val="24"/>
          <w:szCs w:val="24"/>
        </w:rPr>
        <w:t xml:space="preserve"> pacifying conditions (trade interdependencies, democratic regimes, and IGO membership), and two global conditions (Cold War and external alliances with major powers), along with regional differentiation based on the presence/absence of regional hierarchies.</w:t>
      </w:r>
      <w:r w:rsidR="00BF6B8E">
        <w:rPr>
          <w:rStyle w:val="FootnoteReference"/>
          <w:rFonts w:ascii="Times New Roman" w:hAnsi="Times New Roman" w:cs="Times New Roman"/>
          <w:sz w:val="24"/>
          <w:szCs w:val="24"/>
        </w:rPr>
        <w:footnoteReference w:id="13"/>
      </w:r>
    </w:p>
    <w:tbl>
      <w:tblPr>
        <w:tblStyle w:val="TableGrid"/>
        <w:tblW w:w="4615" w:type="pct"/>
        <w:jc w:val="center"/>
        <w:tblLook w:val="04A0" w:firstRow="1" w:lastRow="0" w:firstColumn="1" w:lastColumn="0" w:noHBand="0" w:noVBand="1"/>
      </w:tblPr>
      <w:tblGrid>
        <w:gridCol w:w="1272"/>
        <w:gridCol w:w="1266"/>
        <w:gridCol w:w="790"/>
        <w:gridCol w:w="311"/>
        <w:gridCol w:w="1266"/>
        <w:gridCol w:w="902"/>
        <w:gridCol w:w="48"/>
        <w:gridCol w:w="150"/>
        <w:gridCol w:w="1025"/>
        <w:gridCol w:w="242"/>
        <w:gridCol w:w="472"/>
        <w:gridCol w:w="36"/>
        <w:gridCol w:w="593"/>
        <w:gridCol w:w="266"/>
      </w:tblGrid>
      <w:tr w:rsidR="00636BD8" w:rsidRPr="00661241" w14:paraId="7E1C1BB1" w14:textId="77777777" w:rsidTr="00CC16D6">
        <w:trPr>
          <w:cantSplit/>
          <w:trHeight w:val="562"/>
          <w:jc w:val="center"/>
        </w:trPr>
        <w:tc>
          <w:tcPr>
            <w:tcW w:w="5000" w:type="pct"/>
            <w:gridSpan w:val="14"/>
            <w:tcBorders>
              <w:top w:val="nil"/>
              <w:left w:val="nil"/>
              <w:bottom w:val="single" w:sz="4" w:space="0" w:color="auto"/>
              <w:right w:val="nil"/>
            </w:tcBorders>
            <w:vAlign w:val="center"/>
          </w:tcPr>
          <w:p w14:paraId="20B941C0" w14:textId="470D58AA" w:rsidR="00636BD8" w:rsidRPr="000375EB" w:rsidRDefault="007B17E3" w:rsidP="00CC16D6">
            <w:pPr>
              <w:ind w:right="-398"/>
              <w:rPr>
                <w:b/>
                <w:sz w:val="24"/>
                <w:szCs w:val="24"/>
              </w:rPr>
            </w:pPr>
            <w:r w:rsidRPr="000375EB">
              <w:rPr>
                <w:b/>
                <w:sz w:val="24"/>
                <w:szCs w:val="24"/>
              </w:rPr>
              <w:t>T</w:t>
            </w:r>
            <w:r>
              <w:rPr>
                <w:b/>
                <w:sz w:val="24"/>
                <w:szCs w:val="24"/>
              </w:rPr>
              <w:t>able</w:t>
            </w:r>
            <w:r w:rsidRPr="000375EB">
              <w:rPr>
                <w:b/>
                <w:sz w:val="24"/>
                <w:szCs w:val="24"/>
              </w:rPr>
              <w:t xml:space="preserve"> </w:t>
            </w:r>
            <w:r w:rsidR="00636BD8" w:rsidRPr="000375EB">
              <w:rPr>
                <w:b/>
                <w:sz w:val="24"/>
                <w:szCs w:val="24"/>
              </w:rPr>
              <w:t>2: OLS Regression Models for Major and Regional Powers and Regional Conflict, with Number of Severe MIDs/Number of States in Region</w:t>
            </w:r>
            <w:r w:rsidR="00CC16D6">
              <w:rPr>
                <w:b/>
                <w:sz w:val="24"/>
                <w:szCs w:val="24"/>
              </w:rPr>
              <w:t>.</w:t>
            </w:r>
          </w:p>
        </w:tc>
      </w:tr>
      <w:tr w:rsidR="00636BD8" w:rsidRPr="00661241" w14:paraId="324DF68E" w14:textId="77777777" w:rsidTr="00C83D17">
        <w:trPr>
          <w:gridAfter w:val="2"/>
          <w:wAfter w:w="497" w:type="pct"/>
          <w:cantSplit/>
          <w:jc w:val="center"/>
        </w:trPr>
        <w:tc>
          <w:tcPr>
            <w:tcW w:w="736" w:type="pct"/>
            <w:tcBorders>
              <w:top w:val="single" w:sz="4" w:space="0" w:color="auto"/>
              <w:left w:val="nil"/>
              <w:bottom w:val="nil"/>
              <w:right w:val="nil"/>
            </w:tcBorders>
          </w:tcPr>
          <w:p w14:paraId="175F574E" w14:textId="77777777" w:rsidR="00636BD8" w:rsidRPr="00661241" w:rsidRDefault="00636BD8" w:rsidP="00636BD8"/>
        </w:tc>
        <w:tc>
          <w:tcPr>
            <w:tcW w:w="1190" w:type="pct"/>
            <w:gridSpan w:val="2"/>
            <w:tcBorders>
              <w:top w:val="single" w:sz="4" w:space="0" w:color="auto"/>
              <w:left w:val="nil"/>
              <w:bottom w:val="single" w:sz="4" w:space="0" w:color="auto"/>
              <w:right w:val="nil"/>
            </w:tcBorders>
            <w:vAlign w:val="center"/>
          </w:tcPr>
          <w:p w14:paraId="3FA50482" w14:textId="77777777" w:rsidR="00636BD8" w:rsidRPr="00661241" w:rsidRDefault="00636BD8" w:rsidP="00636BD8">
            <w:pPr>
              <w:jc w:val="center"/>
              <w:rPr>
                <w:i/>
              </w:rPr>
            </w:pPr>
            <w:r w:rsidRPr="00661241">
              <w:rPr>
                <w:i/>
              </w:rPr>
              <w:t>Base Model</w:t>
            </w:r>
          </w:p>
        </w:tc>
        <w:tc>
          <w:tcPr>
            <w:tcW w:w="1463" w:type="pct"/>
            <w:gridSpan w:val="4"/>
            <w:tcBorders>
              <w:top w:val="single" w:sz="4" w:space="0" w:color="auto"/>
              <w:left w:val="nil"/>
              <w:bottom w:val="single" w:sz="4" w:space="0" w:color="auto"/>
              <w:right w:val="nil"/>
            </w:tcBorders>
            <w:vAlign w:val="center"/>
          </w:tcPr>
          <w:p w14:paraId="38AAB968" w14:textId="77777777" w:rsidR="00636BD8" w:rsidRPr="00661241" w:rsidRDefault="00636BD8" w:rsidP="00636BD8">
            <w:pPr>
              <w:jc w:val="center"/>
              <w:rPr>
                <w:i/>
              </w:rPr>
            </w:pPr>
            <w:r w:rsidRPr="00661241">
              <w:rPr>
                <w:i/>
              </w:rPr>
              <w:t>Major</w:t>
            </w:r>
            <w:r>
              <w:rPr>
                <w:i/>
              </w:rPr>
              <w:t xml:space="preserve"> P</w:t>
            </w:r>
            <w:r w:rsidRPr="00661241">
              <w:rPr>
                <w:i/>
              </w:rPr>
              <w:t xml:space="preserve">ower </w:t>
            </w:r>
          </w:p>
          <w:p w14:paraId="08979DE1" w14:textId="77777777" w:rsidR="00636BD8" w:rsidRPr="00661241" w:rsidRDefault="00636BD8" w:rsidP="00636BD8">
            <w:pPr>
              <w:jc w:val="center"/>
              <w:rPr>
                <w:i/>
              </w:rPr>
            </w:pPr>
            <w:r w:rsidRPr="00661241">
              <w:rPr>
                <w:i/>
              </w:rPr>
              <w:t xml:space="preserve">Presence </w:t>
            </w:r>
          </w:p>
        </w:tc>
        <w:tc>
          <w:tcPr>
            <w:tcW w:w="1114" w:type="pct"/>
            <w:gridSpan w:val="5"/>
            <w:tcBorders>
              <w:top w:val="single" w:sz="4" w:space="0" w:color="auto"/>
              <w:left w:val="nil"/>
              <w:bottom w:val="single" w:sz="4" w:space="0" w:color="auto"/>
              <w:right w:val="nil"/>
            </w:tcBorders>
          </w:tcPr>
          <w:p w14:paraId="3B908513" w14:textId="77777777" w:rsidR="00636BD8" w:rsidRPr="00661241" w:rsidRDefault="00636BD8" w:rsidP="00636BD8">
            <w:pPr>
              <w:jc w:val="center"/>
              <w:rPr>
                <w:i/>
              </w:rPr>
            </w:pPr>
            <w:r w:rsidRPr="00661241">
              <w:rPr>
                <w:i/>
              </w:rPr>
              <w:t>Regional Power Presence</w:t>
            </w:r>
          </w:p>
        </w:tc>
      </w:tr>
      <w:tr w:rsidR="00636BD8" w:rsidRPr="00661241" w14:paraId="3BD9B568" w14:textId="77777777" w:rsidTr="00C83D17">
        <w:trPr>
          <w:gridAfter w:val="1"/>
          <w:wAfter w:w="155" w:type="pct"/>
          <w:cantSplit/>
          <w:jc w:val="center"/>
        </w:trPr>
        <w:tc>
          <w:tcPr>
            <w:tcW w:w="736" w:type="pct"/>
            <w:tcBorders>
              <w:top w:val="nil"/>
              <w:left w:val="nil"/>
              <w:bottom w:val="nil"/>
              <w:right w:val="nil"/>
            </w:tcBorders>
            <w:vAlign w:val="center"/>
          </w:tcPr>
          <w:p w14:paraId="73F87874" w14:textId="77777777" w:rsidR="00636BD8" w:rsidRPr="00661241" w:rsidRDefault="00636BD8" w:rsidP="00636BD8">
            <w:pPr>
              <w:ind w:right="-180"/>
              <w:rPr>
                <w:rFonts w:eastAsia="Times New Roman"/>
              </w:rPr>
            </w:pPr>
            <w:r w:rsidRPr="00661241">
              <w:rPr>
                <w:rFonts w:eastAsia="Times New Roman"/>
              </w:rPr>
              <w:t>Hierarchy</w:t>
            </w:r>
          </w:p>
        </w:tc>
        <w:tc>
          <w:tcPr>
            <w:tcW w:w="733" w:type="pct"/>
            <w:tcBorders>
              <w:top w:val="nil"/>
              <w:left w:val="nil"/>
              <w:bottom w:val="nil"/>
              <w:right w:val="nil"/>
            </w:tcBorders>
            <w:vAlign w:val="center"/>
          </w:tcPr>
          <w:p w14:paraId="1E31F64D" w14:textId="77777777" w:rsidR="00636BD8" w:rsidRPr="00661241" w:rsidRDefault="00636BD8" w:rsidP="00636BD8">
            <w:pPr>
              <w:jc w:val="center"/>
              <w:rPr>
                <w:color w:val="000000" w:themeColor="text1"/>
              </w:rPr>
            </w:pPr>
            <w:r w:rsidRPr="00661241">
              <w:rPr>
                <w:color w:val="000000" w:themeColor="text1"/>
              </w:rPr>
              <w:t>-</w:t>
            </w:r>
          </w:p>
        </w:tc>
        <w:tc>
          <w:tcPr>
            <w:tcW w:w="637" w:type="pct"/>
            <w:gridSpan w:val="2"/>
            <w:tcBorders>
              <w:top w:val="nil"/>
              <w:left w:val="nil"/>
              <w:bottom w:val="nil"/>
              <w:right w:val="nil"/>
            </w:tcBorders>
            <w:vAlign w:val="center"/>
          </w:tcPr>
          <w:p w14:paraId="7DC29AB2" w14:textId="77777777" w:rsidR="00636BD8" w:rsidRPr="00661241" w:rsidRDefault="00636BD8" w:rsidP="00636BD8">
            <w:pPr>
              <w:jc w:val="center"/>
              <w:rPr>
                <w:color w:val="000000" w:themeColor="text1"/>
              </w:rPr>
            </w:pPr>
            <w:r w:rsidRPr="00661241">
              <w:rPr>
                <w:color w:val="000000" w:themeColor="text1"/>
              </w:rPr>
              <w:t>-</w:t>
            </w:r>
          </w:p>
        </w:tc>
        <w:tc>
          <w:tcPr>
            <w:tcW w:w="733" w:type="pct"/>
            <w:tcBorders>
              <w:top w:val="nil"/>
              <w:left w:val="nil"/>
              <w:bottom w:val="nil"/>
              <w:right w:val="nil"/>
            </w:tcBorders>
            <w:vAlign w:val="center"/>
          </w:tcPr>
          <w:p w14:paraId="2DB59DBE" w14:textId="77777777" w:rsidR="00636BD8" w:rsidRPr="00661241" w:rsidRDefault="00636BD8" w:rsidP="00636BD8">
            <w:pPr>
              <w:ind w:right="-96"/>
              <w:rPr>
                <w:color w:val="000000" w:themeColor="text1"/>
              </w:rPr>
            </w:pPr>
            <w:r>
              <w:rPr>
                <w:color w:val="000000" w:themeColor="text1"/>
              </w:rPr>
              <w:t>-0.167***</w:t>
            </w:r>
          </w:p>
        </w:tc>
        <w:tc>
          <w:tcPr>
            <w:tcW w:w="637" w:type="pct"/>
            <w:gridSpan w:val="3"/>
            <w:tcBorders>
              <w:top w:val="nil"/>
              <w:left w:val="nil"/>
              <w:bottom w:val="nil"/>
              <w:right w:val="nil"/>
            </w:tcBorders>
            <w:vAlign w:val="center"/>
          </w:tcPr>
          <w:p w14:paraId="2B715E43" w14:textId="77777777" w:rsidR="00636BD8" w:rsidRPr="00661241" w:rsidRDefault="00636BD8" w:rsidP="00636BD8">
            <w:pPr>
              <w:rPr>
                <w:color w:val="000000" w:themeColor="text1"/>
              </w:rPr>
            </w:pPr>
            <w:r>
              <w:rPr>
                <w:color w:val="000000" w:themeColor="text1"/>
              </w:rPr>
              <w:t>(0.030)</w:t>
            </w:r>
          </w:p>
        </w:tc>
        <w:tc>
          <w:tcPr>
            <w:tcW w:w="733" w:type="pct"/>
            <w:gridSpan w:val="2"/>
            <w:tcBorders>
              <w:top w:val="nil"/>
              <w:left w:val="nil"/>
              <w:bottom w:val="nil"/>
              <w:right w:val="nil"/>
            </w:tcBorders>
            <w:vAlign w:val="center"/>
          </w:tcPr>
          <w:p w14:paraId="3739FAD2" w14:textId="77777777" w:rsidR="00636BD8" w:rsidRPr="00661241" w:rsidRDefault="00636BD8" w:rsidP="00636BD8">
            <w:pPr>
              <w:ind w:right="-132"/>
              <w:rPr>
                <w:color w:val="000000" w:themeColor="text1"/>
              </w:rPr>
            </w:pPr>
            <w:r w:rsidRPr="00661241">
              <w:rPr>
                <w:color w:val="000000" w:themeColor="text1"/>
              </w:rPr>
              <w:t>-0.1</w:t>
            </w:r>
            <w:r>
              <w:rPr>
                <w:color w:val="000000" w:themeColor="text1"/>
              </w:rPr>
              <w:t>12</w:t>
            </w:r>
            <w:r w:rsidRPr="00661241">
              <w:rPr>
                <w:color w:val="000000" w:themeColor="text1"/>
              </w:rPr>
              <w:t>***</w:t>
            </w:r>
          </w:p>
        </w:tc>
        <w:tc>
          <w:tcPr>
            <w:tcW w:w="637" w:type="pct"/>
            <w:gridSpan w:val="3"/>
            <w:tcBorders>
              <w:top w:val="nil"/>
              <w:left w:val="nil"/>
              <w:bottom w:val="nil"/>
              <w:right w:val="nil"/>
            </w:tcBorders>
            <w:vAlign w:val="center"/>
          </w:tcPr>
          <w:p w14:paraId="465812E5" w14:textId="77777777" w:rsidR="00636BD8" w:rsidRPr="00661241" w:rsidRDefault="00636BD8" w:rsidP="00636BD8">
            <w:pPr>
              <w:rPr>
                <w:color w:val="000000" w:themeColor="text1"/>
              </w:rPr>
            </w:pPr>
            <w:r w:rsidRPr="00661241">
              <w:rPr>
                <w:color w:val="000000" w:themeColor="text1"/>
              </w:rPr>
              <w:t>(0.028)</w:t>
            </w:r>
          </w:p>
        </w:tc>
      </w:tr>
      <w:tr w:rsidR="00636BD8" w:rsidRPr="00661241" w14:paraId="2AEDB2D1" w14:textId="77777777" w:rsidTr="00C83D17">
        <w:trPr>
          <w:gridAfter w:val="1"/>
          <w:wAfter w:w="155" w:type="pct"/>
          <w:cantSplit/>
          <w:jc w:val="center"/>
        </w:trPr>
        <w:tc>
          <w:tcPr>
            <w:tcW w:w="736" w:type="pct"/>
            <w:tcBorders>
              <w:top w:val="nil"/>
              <w:left w:val="nil"/>
              <w:bottom w:val="nil"/>
              <w:right w:val="nil"/>
            </w:tcBorders>
            <w:vAlign w:val="center"/>
          </w:tcPr>
          <w:p w14:paraId="2A1124EF" w14:textId="77777777" w:rsidR="00636BD8" w:rsidRPr="00661241" w:rsidRDefault="00636BD8" w:rsidP="00636BD8">
            <w:pPr>
              <w:ind w:right="-180"/>
              <w:rPr>
                <w:rFonts w:eastAsia="Times New Roman"/>
              </w:rPr>
            </w:pPr>
            <w:r w:rsidRPr="00661241">
              <w:rPr>
                <w:rFonts w:eastAsia="Times New Roman"/>
              </w:rPr>
              <w:t># Intra-Regional Rivalries</w:t>
            </w:r>
            <w:r w:rsidRPr="00661241">
              <w:rPr>
                <w:rFonts w:eastAsia="Times New Roman"/>
                <w:vertAlign w:val="subscript"/>
              </w:rPr>
              <w:t xml:space="preserve"> t-1</w:t>
            </w:r>
          </w:p>
        </w:tc>
        <w:tc>
          <w:tcPr>
            <w:tcW w:w="733" w:type="pct"/>
            <w:tcBorders>
              <w:top w:val="nil"/>
              <w:left w:val="nil"/>
              <w:bottom w:val="nil"/>
              <w:right w:val="nil"/>
            </w:tcBorders>
            <w:vAlign w:val="center"/>
          </w:tcPr>
          <w:p w14:paraId="6EC2A99B" w14:textId="77777777" w:rsidR="00636BD8" w:rsidRPr="00661241" w:rsidRDefault="00636BD8" w:rsidP="00636BD8">
            <w:pPr>
              <w:rPr>
                <w:color w:val="000000" w:themeColor="text1"/>
              </w:rPr>
            </w:pPr>
            <w:r w:rsidRPr="00661241">
              <w:rPr>
                <w:color w:val="000000" w:themeColor="text1"/>
              </w:rPr>
              <w:t>0.02</w:t>
            </w:r>
            <w:r>
              <w:rPr>
                <w:color w:val="000000" w:themeColor="text1"/>
              </w:rPr>
              <w:t>1</w:t>
            </w:r>
            <w:r w:rsidRPr="00661241">
              <w:rPr>
                <w:rFonts w:cs="Times"/>
              </w:rPr>
              <w:t>***</w:t>
            </w:r>
          </w:p>
        </w:tc>
        <w:tc>
          <w:tcPr>
            <w:tcW w:w="637" w:type="pct"/>
            <w:gridSpan w:val="2"/>
            <w:tcBorders>
              <w:top w:val="nil"/>
              <w:left w:val="nil"/>
              <w:bottom w:val="nil"/>
              <w:right w:val="nil"/>
            </w:tcBorders>
            <w:vAlign w:val="center"/>
          </w:tcPr>
          <w:p w14:paraId="3CF195C5" w14:textId="77777777" w:rsidR="00636BD8" w:rsidRPr="00661241" w:rsidRDefault="00636BD8" w:rsidP="00636BD8">
            <w:pPr>
              <w:ind w:right="-180"/>
              <w:rPr>
                <w:color w:val="000000" w:themeColor="text1"/>
              </w:rPr>
            </w:pPr>
            <w:r w:rsidRPr="00661241">
              <w:rPr>
                <w:color w:val="000000" w:themeColor="text1"/>
              </w:rPr>
              <w:t>(0.00</w:t>
            </w:r>
            <w:r>
              <w:rPr>
                <w:color w:val="000000" w:themeColor="text1"/>
              </w:rPr>
              <w:t>3</w:t>
            </w:r>
            <w:r w:rsidRPr="00661241">
              <w:rPr>
                <w:color w:val="000000" w:themeColor="text1"/>
              </w:rPr>
              <w:t>)</w:t>
            </w:r>
          </w:p>
        </w:tc>
        <w:tc>
          <w:tcPr>
            <w:tcW w:w="733" w:type="pct"/>
            <w:tcBorders>
              <w:top w:val="nil"/>
              <w:left w:val="nil"/>
              <w:bottom w:val="nil"/>
              <w:right w:val="nil"/>
            </w:tcBorders>
            <w:vAlign w:val="center"/>
          </w:tcPr>
          <w:p w14:paraId="1B0B8727" w14:textId="77777777" w:rsidR="00636BD8" w:rsidRPr="00661241" w:rsidRDefault="00636BD8" w:rsidP="00636BD8">
            <w:pPr>
              <w:ind w:right="-96"/>
              <w:rPr>
                <w:color w:val="000000" w:themeColor="text1"/>
              </w:rPr>
            </w:pPr>
            <w:r>
              <w:rPr>
                <w:color w:val="000000" w:themeColor="text1"/>
              </w:rPr>
              <w:t>0.016***</w:t>
            </w:r>
          </w:p>
        </w:tc>
        <w:tc>
          <w:tcPr>
            <w:tcW w:w="637" w:type="pct"/>
            <w:gridSpan w:val="3"/>
            <w:tcBorders>
              <w:top w:val="nil"/>
              <w:left w:val="nil"/>
              <w:bottom w:val="nil"/>
              <w:right w:val="nil"/>
            </w:tcBorders>
            <w:vAlign w:val="center"/>
          </w:tcPr>
          <w:p w14:paraId="244C9BD1" w14:textId="77777777" w:rsidR="00636BD8" w:rsidRPr="00661241" w:rsidRDefault="00636BD8" w:rsidP="00636BD8">
            <w:pPr>
              <w:rPr>
                <w:color w:val="000000" w:themeColor="text1"/>
              </w:rPr>
            </w:pPr>
            <w:r>
              <w:rPr>
                <w:color w:val="000000" w:themeColor="text1"/>
              </w:rPr>
              <w:t>(0.004)</w:t>
            </w:r>
          </w:p>
        </w:tc>
        <w:tc>
          <w:tcPr>
            <w:tcW w:w="733" w:type="pct"/>
            <w:gridSpan w:val="2"/>
            <w:tcBorders>
              <w:top w:val="nil"/>
              <w:left w:val="nil"/>
              <w:bottom w:val="nil"/>
              <w:right w:val="nil"/>
            </w:tcBorders>
            <w:vAlign w:val="center"/>
          </w:tcPr>
          <w:p w14:paraId="2A0260B1" w14:textId="77777777" w:rsidR="00636BD8" w:rsidRPr="00661241" w:rsidRDefault="00636BD8" w:rsidP="00636BD8">
            <w:pPr>
              <w:ind w:right="-132"/>
              <w:rPr>
                <w:color w:val="000000" w:themeColor="text1"/>
              </w:rPr>
            </w:pPr>
            <w:r w:rsidRPr="00661241">
              <w:rPr>
                <w:color w:val="000000" w:themeColor="text1"/>
              </w:rPr>
              <w:t>0.</w:t>
            </w:r>
            <w:r>
              <w:rPr>
                <w:color w:val="000000" w:themeColor="text1"/>
              </w:rPr>
              <w:t>016</w:t>
            </w:r>
            <w:r w:rsidRPr="00661241">
              <w:rPr>
                <w:rFonts w:cs="Times"/>
              </w:rPr>
              <w:t>***</w:t>
            </w:r>
          </w:p>
        </w:tc>
        <w:tc>
          <w:tcPr>
            <w:tcW w:w="637" w:type="pct"/>
            <w:gridSpan w:val="3"/>
            <w:tcBorders>
              <w:top w:val="nil"/>
              <w:left w:val="nil"/>
              <w:bottom w:val="nil"/>
              <w:right w:val="nil"/>
            </w:tcBorders>
            <w:vAlign w:val="center"/>
          </w:tcPr>
          <w:p w14:paraId="38442FE2" w14:textId="77777777" w:rsidR="00636BD8" w:rsidRPr="00661241" w:rsidRDefault="00636BD8" w:rsidP="00636BD8">
            <w:pPr>
              <w:rPr>
                <w:color w:val="000000" w:themeColor="text1"/>
              </w:rPr>
            </w:pPr>
            <w:r w:rsidRPr="00661241">
              <w:rPr>
                <w:color w:val="000000" w:themeColor="text1"/>
              </w:rPr>
              <w:t>(0.004)</w:t>
            </w:r>
          </w:p>
        </w:tc>
      </w:tr>
      <w:tr w:rsidR="00636BD8" w:rsidRPr="00661241" w14:paraId="5F6F5FE3" w14:textId="77777777" w:rsidTr="00C83D17">
        <w:trPr>
          <w:gridAfter w:val="1"/>
          <w:wAfter w:w="155" w:type="pct"/>
          <w:cantSplit/>
          <w:jc w:val="center"/>
        </w:trPr>
        <w:tc>
          <w:tcPr>
            <w:tcW w:w="736" w:type="pct"/>
            <w:tcBorders>
              <w:top w:val="nil"/>
              <w:left w:val="nil"/>
              <w:bottom w:val="nil"/>
              <w:right w:val="nil"/>
            </w:tcBorders>
            <w:vAlign w:val="center"/>
          </w:tcPr>
          <w:p w14:paraId="7BF1BADD" w14:textId="77777777" w:rsidR="00636BD8" w:rsidRPr="00661241" w:rsidRDefault="00636BD8" w:rsidP="00636BD8">
            <w:pPr>
              <w:ind w:right="-180"/>
              <w:rPr>
                <w:rFonts w:eastAsia="Times New Roman"/>
              </w:rPr>
            </w:pPr>
            <w:r w:rsidRPr="00661241">
              <w:rPr>
                <w:rFonts w:eastAsia="Times New Roman"/>
              </w:rPr>
              <w:t># Civil Wars</w:t>
            </w:r>
            <w:r w:rsidRPr="00661241">
              <w:rPr>
                <w:rFonts w:eastAsia="Times New Roman"/>
                <w:vertAlign w:val="subscript"/>
              </w:rPr>
              <w:t xml:space="preserve"> t-1</w:t>
            </w:r>
          </w:p>
        </w:tc>
        <w:tc>
          <w:tcPr>
            <w:tcW w:w="733" w:type="pct"/>
            <w:tcBorders>
              <w:top w:val="nil"/>
              <w:left w:val="nil"/>
              <w:bottom w:val="nil"/>
              <w:right w:val="nil"/>
            </w:tcBorders>
            <w:vAlign w:val="center"/>
          </w:tcPr>
          <w:p w14:paraId="039AA04F" w14:textId="77777777" w:rsidR="00636BD8" w:rsidRPr="00661241" w:rsidRDefault="00636BD8" w:rsidP="00636BD8">
            <w:pPr>
              <w:rPr>
                <w:color w:val="000000" w:themeColor="text1"/>
              </w:rPr>
            </w:pPr>
            <w:r w:rsidRPr="00661241">
              <w:rPr>
                <w:color w:val="000000" w:themeColor="text1"/>
              </w:rPr>
              <w:t>0.0</w:t>
            </w:r>
            <w:r>
              <w:rPr>
                <w:color w:val="000000" w:themeColor="text1"/>
              </w:rPr>
              <w:t>20*</w:t>
            </w:r>
            <w:r w:rsidRPr="00661241">
              <w:rPr>
                <w:rFonts w:cs="Times"/>
              </w:rPr>
              <w:t>*</w:t>
            </w:r>
          </w:p>
        </w:tc>
        <w:tc>
          <w:tcPr>
            <w:tcW w:w="637" w:type="pct"/>
            <w:gridSpan w:val="2"/>
            <w:tcBorders>
              <w:top w:val="nil"/>
              <w:left w:val="nil"/>
              <w:bottom w:val="nil"/>
              <w:right w:val="nil"/>
            </w:tcBorders>
            <w:vAlign w:val="center"/>
          </w:tcPr>
          <w:p w14:paraId="5E049917" w14:textId="77777777" w:rsidR="00636BD8" w:rsidRPr="00661241" w:rsidRDefault="00636BD8" w:rsidP="00636BD8">
            <w:pPr>
              <w:rPr>
                <w:color w:val="000000" w:themeColor="text1"/>
              </w:rPr>
            </w:pPr>
            <w:r w:rsidRPr="00661241">
              <w:rPr>
                <w:color w:val="000000" w:themeColor="text1"/>
              </w:rPr>
              <w:t>(0.007)</w:t>
            </w:r>
          </w:p>
        </w:tc>
        <w:tc>
          <w:tcPr>
            <w:tcW w:w="733" w:type="pct"/>
            <w:tcBorders>
              <w:top w:val="nil"/>
              <w:left w:val="nil"/>
              <w:bottom w:val="nil"/>
              <w:right w:val="nil"/>
            </w:tcBorders>
            <w:vAlign w:val="center"/>
          </w:tcPr>
          <w:p w14:paraId="7171EF81" w14:textId="77777777" w:rsidR="00636BD8" w:rsidRPr="00661241" w:rsidRDefault="00636BD8" w:rsidP="00636BD8">
            <w:pPr>
              <w:ind w:right="-96"/>
              <w:rPr>
                <w:color w:val="000000" w:themeColor="text1"/>
              </w:rPr>
            </w:pPr>
            <w:r>
              <w:rPr>
                <w:color w:val="000000" w:themeColor="text1"/>
              </w:rPr>
              <w:t>0.007</w:t>
            </w:r>
          </w:p>
        </w:tc>
        <w:tc>
          <w:tcPr>
            <w:tcW w:w="637" w:type="pct"/>
            <w:gridSpan w:val="3"/>
            <w:tcBorders>
              <w:top w:val="nil"/>
              <w:left w:val="nil"/>
              <w:bottom w:val="nil"/>
              <w:right w:val="nil"/>
            </w:tcBorders>
            <w:vAlign w:val="center"/>
          </w:tcPr>
          <w:p w14:paraId="3AFE1423" w14:textId="77777777" w:rsidR="00636BD8" w:rsidRPr="00661241" w:rsidRDefault="00636BD8" w:rsidP="00636BD8">
            <w:pPr>
              <w:rPr>
                <w:color w:val="000000" w:themeColor="text1"/>
              </w:rPr>
            </w:pPr>
            <w:r>
              <w:rPr>
                <w:color w:val="000000" w:themeColor="text1"/>
              </w:rPr>
              <w:t>(0.006)</w:t>
            </w:r>
          </w:p>
        </w:tc>
        <w:tc>
          <w:tcPr>
            <w:tcW w:w="733" w:type="pct"/>
            <w:gridSpan w:val="2"/>
            <w:tcBorders>
              <w:top w:val="nil"/>
              <w:left w:val="nil"/>
              <w:bottom w:val="nil"/>
              <w:right w:val="nil"/>
            </w:tcBorders>
            <w:vAlign w:val="center"/>
          </w:tcPr>
          <w:p w14:paraId="40574853" w14:textId="77777777" w:rsidR="00636BD8" w:rsidRPr="00661241" w:rsidRDefault="00636BD8" w:rsidP="00636BD8">
            <w:pPr>
              <w:ind w:right="-132"/>
              <w:rPr>
                <w:color w:val="000000" w:themeColor="text1"/>
              </w:rPr>
            </w:pPr>
            <w:r w:rsidRPr="00661241">
              <w:rPr>
                <w:color w:val="000000" w:themeColor="text1"/>
              </w:rPr>
              <w:t>0.0</w:t>
            </w:r>
            <w:r>
              <w:rPr>
                <w:color w:val="000000" w:themeColor="text1"/>
              </w:rPr>
              <w:t>44</w:t>
            </w:r>
            <w:r w:rsidRPr="00661241">
              <w:rPr>
                <w:color w:val="000000" w:themeColor="text1"/>
              </w:rPr>
              <w:t>***</w:t>
            </w:r>
          </w:p>
        </w:tc>
        <w:tc>
          <w:tcPr>
            <w:tcW w:w="637" w:type="pct"/>
            <w:gridSpan w:val="3"/>
            <w:tcBorders>
              <w:top w:val="nil"/>
              <w:left w:val="nil"/>
              <w:bottom w:val="nil"/>
              <w:right w:val="nil"/>
            </w:tcBorders>
            <w:vAlign w:val="center"/>
          </w:tcPr>
          <w:p w14:paraId="6F7E682C" w14:textId="77777777" w:rsidR="00636BD8" w:rsidRPr="00661241" w:rsidRDefault="00636BD8" w:rsidP="00636BD8">
            <w:pPr>
              <w:rPr>
                <w:color w:val="000000" w:themeColor="text1"/>
              </w:rPr>
            </w:pPr>
            <w:r w:rsidRPr="00661241">
              <w:rPr>
                <w:color w:val="000000" w:themeColor="text1"/>
              </w:rPr>
              <w:t>(0.010)</w:t>
            </w:r>
          </w:p>
        </w:tc>
      </w:tr>
      <w:tr w:rsidR="00636BD8" w:rsidRPr="00661241" w14:paraId="1D2E8FA9" w14:textId="77777777" w:rsidTr="00C83D17">
        <w:trPr>
          <w:gridAfter w:val="1"/>
          <w:wAfter w:w="155" w:type="pct"/>
          <w:cantSplit/>
          <w:jc w:val="center"/>
        </w:trPr>
        <w:tc>
          <w:tcPr>
            <w:tcW w:w="736" w:type="pct"/>
            <w:tcBorders>
              <w:top w:val="nil"/>
              <w:left w:val="nil"/>
              <w:bottom w:val="nil"/>
              <w:right w:val="nil"/>
            </w:tcBorders>
            <w:vAlign w:val="center"/>
          </w:tcPr>
          <w:p w14:paraId="4EBE63B3" w14:textId="77777777" w:rsidR="00636BD8" w:rsidRPr="00661241" w:rsidRDefault="00636BD8" w:rsidP="00636BD8">
            <w:pPr>
              <w:ind w:right="-180"/>
              <w:rPr>
                <w:rFonts w:eastAsia="Times New Roman"/>
              </w:rPr>
            </w:pPr>
            <w:r w:rsidRPr="00661241">
              <w:rPr>
                <w:rFonts w:eastAsia="Times New Roman"/>
              </w:rPr>
              <w:t>Territorial Claims</w:t>
            </w:r>
            <w:r w:rsidRPr="00661241">
              <w:rPr>
                <w:rFonts w:eastAsia="Times New Roman"/>
                <w:vertAlign w:val="subscript"/>
              </w:rPr>
              <w:t xml:space="preserve"> t-1</w:t>
            </w:r>
          </w:p>
        </w:tc>
        <w:tc>
          <w:tcPr>
            <w:tcW w:w="733" w:type="pct"/>
            <w:tcBorders>
              <w:top w:val="nil"/>
              <w:left w:val="nil"/>
              <w:bottom w:val="nil"/>
              <w:right w:val="nil"/>
            </w:tcBorders>
            <w:vAlign w:val="center"/>
          </w:tcPr>
          <w:p w14:paraId="7903BADE" w14:textId="77777777" w:rsidR="00636BD8" w:rsidRPr="00661241" w:rsidRDefault="00636BD8" w:rsidP="00636BD8">
            <w:pPr>
              <w:rPr>
                <w:color w:val="000000" w:themeColor="text1"/>
              </w:rPr>
            </w:pPr>
            <w:r w:rsidRPr="00661241">
              <w:rPr>
                <w:color w:val="000000" w:themeColor="text1"/>
              </w:rPr>
              <w:t>0.1</w:t>
            </w:r>
            <w:r>
              <w:rPr>
                <w:color w:val="000000" w:themeColor="text1"/>
              </w:rPr>
              <w:t>69</w:t>
            </w:r>
            <w:r w:rsidRPr="00661241">
              <w:rPr>
                <w:rFonts w:cs="Times"/>
                <w:color w:val="000000" w:themeColor="text1"/>
              </w:rPr>
              <w:t>**</w:t>
            </w:r>
          </w:p>
        </w:tc>
        <w:tc>
          <w:tcPr>
            <w:tcW w:w="637" w:type="pct"/>
            <w:gridSpan w:val="2"/>
            <w:tcBorders>
              <w:top w:val="nil"/>
              <w:left w:val="nil"/>
              <w:bottom w:val="nil"/>
              <w:right w:val="nil"/>
            </w:tcBorders>
            <w:vAlign w:val="center"/>
          </w:tcPr>
          <w:p w14:paraId="1F24C59F" w14:textId="77777777" w:rsidR="00636BD8" w:rsidRPr="00661241" w:rsidRDefault="00636BD8" w:rsidP="00636BD8">
            <w:pPr>
              <w:rPr>
                <w:color w:val="000000" w:themeColor="text1"/>
              </w:rPr>
            </w:pPr>
            <w:r w:rsidRPr="00661241">
              <w:rPr>
                <w:color w:val="000000" w:themeColor="text1"/>
              </w:rPr>
              <w:t>(0.05</w:t>
            </w:r>
            <w:r>
              <w:rPr>
                <w:color w:val="000000" w:themeColor="text1"/>
              </w:rPr>
              <w:t>2</w:t>
            </w:r>
            <w:r w:rsidRPr="00661241">
              <w:rPr>
                <w:color w:val="000000" w:themeColor="text1"/>
              </w:rPr>
              <w:t>)</w:t>
            </w:r>
          </w:p>
        </w:tc>
        <w:tc>
          <w:tcPr>
            <w:tcW w:w="733" w:type="pct"/>
            <w:tcBorders>
              <w:top w:val="nil"/>
              <w:left w:val="nil"/>
              <w:bottom w:val="nil"/>
              <w:right w:val="nil"/>
            </w:tcBorders>
            <w:vAlign w:val="center"/>
          </w:tcPr>
          <w:p w14:paraId="60BE18AF" w14:textId="77777777" w:rsidR="00636BD8" w:rsidRPr="00661241" w:rsidRDefault="00636BD8" w:rsidP="00636BD8">
            <w:pPr>
              <w:ind w:right="-96"/>
              <w:rPr>
                <w:color w:val="000000" w:themeColor="text1"/>
              </w:rPr>
            </w:pPr>
            <w:r>
              <w:rPr>
                <w:color w:val="000000" w:themeColor="text1"/>
              </w:rPr>
              <w:t>0.264***</w:t>
            </w:r>
          </w:p>
        </w:tc>
        <w:tc>
          <w:tcPr>
            <w:tcW w:w="637" w:type="pct"/>
            <w:gridSpan w:val="3"/>
            <w:tcBorders>
              <w:top w:val="nil"/>
              <w:left w:val="nil"/>
              <w:bottom w:val="nil"/>
              <w:right w:val="nil"/>
            </w:tcBorders>
            <w:vAlign w:val="center"/>
          </w:tcPr>
          <w:p w14:paraId="77C5ED0E" w14:textId="77777777" w:rsidR="00636BD8" w:rsidRPr="00661241" w:rsidRDefault="00636BD8" w:rsidP="00636BD8">
            <w:pPr>
              <w:rPr>
                <w:color w:val="000000" w:themeColor="text1"/>
              </w:rPr>
            </w:pPr>
            <w:r>
              <w:rPr>
                <w:color w:val="000000" w:themeColor="text1"/>
              </w:rPr>
              <w:t>(0.070)</w:t>
            </w:r>
          </w:p>
        </w:tc>
        <w:tc>
          <w:tcPr>
            <w:tcW w:w="733" w:type="pct"/>
            <w:gridSpan w:val="2"/>
            <w:tcBorders>
              <w:top w:val="nil"/>
              <w:left w:val="nil"/>
              <w:bottom w:val="nil"/>
              <w:right w:val="nil"/>
            </w:tcBorders>
            <w:vAlign w:val="center"/>
          </w:tcPr>
          <w:p w14:paraId="7F24191C" w14:textId="77777777" w:rsidR="00636BD8" w:rsidRPr="00661241" w:rsidRDefault="00636BD8" w:rsidP="00636BD8">
            <w:pPr>
              <w:ind w:right="-132"/>
              <w:rPr>
                <w:color w:val="000000" w:themeColor="text1"/>
              </w:rPr>
            </w:pPr>
            <w:r w:rsidRPr="00661241">
              <w:rPr>
                <w:color w:val="000000" w:themeColor="text1"/>
              </w:rPr>
              <w:t>0.</w:t>
            </w:r>
            <w:r>
              <w:rPr>
                <w:color w:val="000000" w:themeColor="text1"/>
              </w:rPr>
              <w:t>201</w:t>
            </w:r>
            <w:r w:rsidRPr="00661241">
              <w:rPr>
                <w:color w:val="000000" w:themeColor="text1"/>
              </w:rPr>
              <w:t>***</w:t>
            </w:r>
          </w:p>
        </w:tc>
        <w:tc>
          <w:tcPr>
            <w:tcW w:w="637" w:type="pct"/>
            <w:gridSpan w:val="3"/>
            <w:tcBorders>
              <w:top w:val="nil"/>
              <w:left w:val="nil"/>
              <w:bottom w:val="nil"/>
              <w:right w:val="nil"/>
            </w:tcBorders>
            <w:vAlign w:val="center"/>
          </w:tcPr>
          <w:p w14:paraId="26E43E16" w14:textId="77777777" w:rsidR="00636BD8" w:rsidRPr="00661241" w:rsidRDefault="00636BD8" w:rsidP="00636BD8">
            <w:pPr>
              <w:rPr>
                <w:color w:val="000000" w:themeColor="text1"/>
              </w:rPr>
            </w:pPr>
            <w:r w:rsidRPr="00661241">
              <w:rPr>
                <w:color w:val="000000" w:themeColor="text1"/>
              </w:rPr>
              <w:t>(0.050)</w:t>
            </w:r>
          </w:p>
        </w:tc>
      </w:tr>
      <w:tr w:rsidR="00636BD8" w:rsidRPr="00661241" w14:paraId="68FC0965" w14:textId="77777777" w:rsidTr="00C83D17">
        <w:trPr>
          <w:gridAfter w:val="1"/>
          <w:wAfter w:w="155" w:type="pct"/>
          <w:cantSplit/>
          <w:jc w:val="center"/>
        </w:trPr>
        <w:tc>
          <w:tcPr>
            <w:tcW w:w="736" w:type="pct"/>
            <w:tcBorders>
              <w:top w:val="nil"/>
              <w:left w:val="nil"/>
              <w:bottom w:val="nil"/>
              <w:right w:val="nil"/>
            </w:tcBorders>
            <w:vAlign w:val="center"/>
          </w:tcPr>
          <w:p w14:paraId="1E4A0CAE" w14:textId="77777777" w:rsidR="00636BD8" w:rsidRPr="00661241" w:rsidRDefault="00636BD8" w:rsidP="00636BD8">
            <w:pPr>
              <w:ind w:right="-180"/>
              <w:rPr>
                <w:rFonts w:eastAsia="Times New Roman"/>
              </w:rPr>
            </w:pPr>
            <w:r w:rsidRPr="00661241">
              <w:rPr>
                <w:rFonts w:eastAsia="Times New Roman"/>
              </w:rPr>
              <w:t xml:space="preserve">% Regional Trade </w:t>
            </w:r>
            <w:r w:rsidRPr="00661241">
              <w:rPr>
                <w:rFonts w:eastAsia="Times New Roman"/>
                <w:vertAlign w:val="subscript"/>
              </w:rPr>
              <w:t>t-1</w:t>
            </w:r>
          </w:p>
        </w:tc>
        <w:tc>
          <w:tcPr>
            <w:tcW w:w="733" w:type="pct"/>
            <w:tcBorders>
              <w:top w:val="nil"/>
              <w:left w:val="nil"/>
              <w:bottom w:val="nil"/>
              <w:right w:val="nil"/>
            </w:tcBorders>
            <w:vAlign w:val="center"/>
          </w:tcPr>
          <w:p w14:paraId="19D5313A" w14:textId="77777777" w:rsidR="00636BD8" w:rsidRPr="00661241" w:rsidRDefault="00636BD8" w:rsidP="00636BD8">
            <w:pPr>
              <w:rPr>
                <w:color w:val="000000" w:themeColor="text1"/>
              </w:rPr>
            </w:pPr>
            <w:r w:rsidRPr="00661241">
              <w:rPr>
                <w:color w:val="000000" w:themeColor="text1"/>
              </w:rPr>
              <w:t>-0.03</w:t>
            </w:r>
            <w:r>
              <w:rPr>
                <w:color w:val="000000" w:themeColor="text1"/>
              </w:rPr>
              <w:t>6</w:t>
            </w:r>
            <w:r w:rsidRPr="00661241">
              <w:rPr>
                <w:color w:val="000000" w:themeColor="text1"/>
              </w:rPr>
              <w:t>*</w:t>
            </w:r>
            <w:r>
              <w:rPr>
                <w:color w:val="000000" w:themeColor="text1"/>
              </w:rPr>
              <w:t>*</w:t>
            </w:r>
          </w:p>
        </w:tc>
        <w:tc>
          <w:tcPr>
            <w:tcW w:w="637" w:type="pct"/>
            <w:gridSpan w:val="2"/>
            <w:tcBorders>
              <w:top w:val="nil"/>
              <w:left w:val="nil"/>
              <w:bottom w:val="nil"/>
              <w:right w:val="nil"/>
            </w:tcBorders>
            <w:vAlign w:val="center"/>
          </w:tcPr>
          <w:p w14:paraId="22CE3286" w14:textId="77777777" w:rsidR="00636BD8" w:rsidRPr="00661241" w:rsidRDefault="00636BD8" w:rsidP="00636BD8">
            <w:pPr>
              <w:rPr>
                <w:color w:val="000000" w:themeColor="text1"/>
              </w:rPr>
            </w:pPr>
            <w:r w:rsidRPr="00661241">
              <w:rPr>
                <w:color w:val="000000" w:themeColor="text1"/>
              </w:rPr>
              <w:t>(0.013)</w:t>
            </w:r>
          </w:p>
        </w:tc>
        <w:tc>
          <w:tcPr>
            <w:tcW w:w="733" w:type="pct"/>
            <w:tcBorders>
              <w:top w:val="nil"/>
              <w:left w:val="nil"/>
              <w:bottom w:val="nil"/>
              <w:right w:val="nil"/>
            </w:tcBorders>
            <w:vAlign w:val="center"/>
          </w:tcPr>
          <w:p w14:paraId="5B74F7D9" w14:textId="77777777" w:rsidR="00636BD8" w:rsidRPr="00661241" w:rsidRDefault="00636BD8" w:rsidP="00636BD8">
            <w:pPr>
              <w:jc w:val="center"/>
              <w:rPr>
                <w:color w:val="000000" w:themeColor="text1"/>
              </w:rPr>
            </w:pPr>
            <w:r w:rsidRPr="00661241">
              <w:rPr>
                <w:color w:val="000000" w:themeColor="text1"/>
              </w:rPr>
              <w:t>-</w:t>
            </w:r>
          </w:p>
        </w:tc>
        <w:tc>
          <w:tcPr>
            <w:tcW w:w="637" w:type="pct"/>
            <w:gridSpan w:val="3"/>
            <w:tcBorders>
              <w:top w:val="nil"/>
              <w:left w:val="nil"/>
              <w:bottom w:val="nil"/>
              <w:right w:val="nil"/>
            </w:tcBorders>
            <w:vAlign w:val="center"/>
          </w:tcPr>
          <w:p w14:paraId="31553060" w14:textId="77777777" w:rsidR="00636BD8" w:rsidRPr="00661241" w:rsidRDefault="00636BD8" w:rsidP="00636BD8">
            <w:pPr>
              <w:jc w:val="center"/>
              <w:rPr>
                <w:color w:val="000000" w:themeColor="text1"/>
              </w:rPr>
            </w:pPr>
            <w:r w:rsidRPr="00661241">
              <w:rPr>
                <w:color w:val="000000" w:themeColor="text1"/>
              </w:rPr>
              <w:t>-</w:t>
            </w:r>
          </w:p>
        </w:tc>
        <w:tc>
          <w:tcPr>
            <w:tcW w:w="733" w:type="pct"/>
            <w:gridSpan w:val="2"/>
            <w:tcBorders>
              <w:top w:val="nil"/>
              <w:left w:val="nil"/>
              <w:bottom w:val="nil"/>
              <w:right w:val="nil"/>
            </w:tcBorders>
            <w:vAlign w:val="center"/>
          </w:tcPr>
          <w:p w14:paraId="2C2DA5F9" w14:textId="77777777" w:rsidR="00636BD8" w:rsidRPr="00661241" w:rsidRDefault="00636BD8" w:rsidP="00636BD8">
            <w:pPr>
              <w:ind w:right="-132"/>
              <w:rPr>
                <w:color w:val="000000" w:themeColor="text1"/>
              </w:rPr>
            </w:pPr>
            <w:r w:rsidRPr="00661241">
              <w:rPr>
                <w:color w:val="000000" w:themeColor="text1"/>
              </w:rPr>
              <w:t>0.00</w:t>
            </w:r>
            <w:r>
              <w:rPr>
                <w:color w:val="000000" w:themeColor="text1"/>
              </w:rPr>
              <w:t>5</w:t>
            </w:r>
          </w:p>
        </w:tc>
        <w:tc>
          <w:tcPr>
            <w:tcW w:w="637" w:type="pct"/>
            <w:gridSpan w:val="3"/>
            <w:tcBorders>
              <w:top w:val="nil"/>
              <w:left w:val="nil"/>
              <w:bottom w:val="nil"/>
              <w:right w:val="nil"/>
            </w:tcBorders>
            <w:vAlign w:val="center"/>
          </w:tcPr>
          <w:p w14:paraId="6E4505CA" w14:textId="77777777" w:rsidR="00636BD8" w:rsidRPr="00661241" w:rsidRDefault="00636BD8" w:rsidP="00636BD8">
            <w:pPr>
              <w:rPr>
                <w:color w:val="000000" w:themeColor="text1"/>
              </w:rPr>
            </w:pPr>
            <w:r w:rsidRPr="00661241">
              <w:rPr>
                <w:color w:val="000000" w:themeColor="text1"/>
              </w:rPr>
              <w:t>(0.019)</w:t>
            </w:r>
          </w:p>
        </w:tc>
      </w:tr>
      <w:tr w:rsidR="00636BD8" w:rsidRPr="00661241" w14:paraId="36FB3944" w14:textId="77777777" w:rsidTr="00C83D17">
        <w:trPr>
          <w:gridAfter w:val="1"/>
          <w:wAfter w:w="155" w:type="pct"/>
          <w:cantSplit/>
          <w:jc w:val="center"/>
        </w:trPr>
        <w:tc>
          <w:tcPr>
            <w:tcW w:w="736" w:type="pct"/>
            <w:tcBorders>
              <w:top w:val="nil"/>
              <w:left w:val="nil"/>
              <w:bottom w:val="nil"/>
              <w:right w:val="nil"/>
            </w:tcBorders>
            <w:vAlign w:val="center"/>
          </w:tcPr>
          <w:p w14:paraId="28016101" w14:textId="77777777" w:rsidR="00636BD8" w:rsidRPr="00661241" w:rsidRDefault="00636BD8" w:rsidP="00636BD8">
            <w:pPr>
              <w:ind w:right="-180"/>
              <w:rPr>
                <w:rFonts w:eastAsia="Times New Roman"/>
              </w:rPr>
            </w:pPr>
            <w:r w:rsidRPr="00661241">
              <w:rPr>
                <w:rFonts w:eastAsia="Times New Roman"/>
              </w:rPr>
              <w:lastRenderedPageBreak/>
              <w:t>% Regional Democracies</w:t>
            </w:r>
            <w:r w:rsidRPr="00661241">
              <w:rPr>
                <w:rFonts w:eastAsia="Times New Roman"/>
                <w:vertAlign w:val="subscript"/>
              </w:rPr>
              <w:t xml:space="preserve"> t-1</w:t>
            </w:r>
          </w:p>
        </w:tc>
        <w:tc>
          <w:tcPr>
            <w:tcW w:w="733" w:type="pct"/>
            <w:tcBorders>
              <w:top w:val="nil"/>
              <w:left w:val="nil"/>
              <w:bottom w:val="nil"/>
              <w:right w:val="nil"/>
            </w:tcBorders>
            <w:vAlign w:val="center"/>
          </w:tcPr>
          <w:p w14:paraId="57F319C3" w14:textId="77777777" w:rsidR="00636BD8" w:rsidRPr="00661241" w:rsidRDefault="00636BD8" w:rsidP="00636BD8">
            <w:pPr>
              <w:rPr>
                <w:color w:val="000000" w:themeColor="text1"/>
              </w:rPr>
            </w:pPr>
            <w:r w:rsidRPr="00661241">
              <w:rPr>
                <w:color w:val="000000" w:themeColor="text1"/>
              </w:rPr>
              <w:t>-0.1</w:t>
            </w:r>
            <w:r>
              <w:rPr>
                <w:color w:val="000000" w:themeColor="text1"/>
              </w:rPr>
              <w:t>18</w:t>
            </w:r>
            <w:r w:rsidRPr="00661241">
              <w:rPr>
                <w:color w:val="000000" w:themeColor="text1"/>
              </w:rPr>
              <w:t>**</w:t>
            </w:r>
          </w:p>
        </w:tc>
        <w:tc>
          <w:tcPr>
            <w:tcW w:w="637" w:type="pct"/>
            <w:gridSpan w:val="2"/>
            <w:tcBorders>
              <w:top w:val="nil"/>
              <w:left w:val="nil"/>
              <w:bottom w:val="nil"/>
              <w:right w:val="nil"/>
            </w:tcBorders>
            <w:vAlign w:val="center"/>
          </w:tcPr>
          <w:p w14:paraId="243022BC" w14:textId="77777777" w:rsidR="00636BD8" w:rsidRPr="00661241" w:rsidRDefault="00636BD8" w:rsidP="00636BD8">
            <w:pPr>
              <w:rPr>
                <w:color w:val="000000" w:themeColor="text1"/>
              </w:rPr>
            </w:pPr>
            <w:r w:rsidRPr="00661241">
              <w:rPr>
                <w:color w:val="000000" w:themeColor="text1"/>
              </w:rPr>
              <w:t>(0.04</w:t>
            </w:r>
            <w:r>
              <w:rPr>
                <w:color w:val="000000" w:themeColor="text1"/>
              </w:rPr>
              <w:t>3</w:t>
            </w:r>
            <w:r w:rsidRPr="00661241">
              <w:rPr>
                <w:color w:val="000000" w:themeColor="text1"/>
              </w:rPr>
              <w:t>)</w:t>
            </w:r>
          </w:p>
        </w:tc>
        <w:tc>
          <w:tcPr>
            <w:tcW w:w="733" w:type="pct"/>
            <w:tcBorders>
              <w:top w:val="nil"/>
              <w:left w:val="nil"/>
              <w:bottom w:val="nil"/>
              <w:right w:val="nil"/>
            </w:tcBorders>
            <w:vAlign w:val="center"/>
          </w:tcPr>
          <w:p w14:paraId="65B1586B" w14:textId="77777777" w:rsidR="00636BD8" w:rsidRPr="00661241" w:rsidRDefault="00636BD8" w:rsidP="00636BD8">
            <w:pPr>
              <w:ind w:right="-96"/>
              <w:rPr>
                <w:color w:val="000000" w:themeColor="text1"/>
              </w:rPr>
            </w:pPr>
            <w:r>
              <w:rPr>
                <w:color w:val="000000" w:themeColor="text1"/>
              </w:rPr>
              <w:t>-0.047</w:t>
            </w:r>
          </w:p>
        </w:tc>
        <w:tc>
          <w:tcPr>
            <w:tcW w:w="637" w:type="pct"/>
            <w:gridSpan w:val="3"/>
            <w:tcBorders>
              <w:top w:val="nil"/>
              <w:left w:val="nil"/>
              <w:bottom w:val="nil"/>
              <w:right w:val="nil"/>
            </w:tcBorders>
            <w:vAlign w:val="center"/>
          </w:tcPr>
          <w:p w14:paraId="5F99DDB5" w14:textId="77777777" w:rsidR="00636BD8" w:rsidRPr="00661241" w:rsidRDefault="00636BD8" w:rsidP="00636BD8">
            <w:pPr>
              <w:rPr>
                <w:color w:val="000000" w:themeColor="text1"/>
              </w:rPr>
            </w:pPr>
            <w:r>
              <w:rPr>
                <w:color w:val="000000" w:themeColor="text1"/>
              </w:rPr>
              <w:t>(0.054)</w:t>
            </w:r>
          </w:p>
        </w:tc>
        <w:tc>
          <w:tcPr>
            <w:tcW w:w="733" w:type="pct"/>
            <w:gridSpan w:val="2"/>
            <w:tcBorders>
              <w:top w:val="nil"/>
              <w:left w:val="nil"/>
              <w:bottom w:val="nil"/>
              <w:right w:val="nil"/>
            </w:tcBorders>
            <w:vAlign w:val="center"/>
          </w:tcPr>
          <w:p w14:paraId="2CDB449E" w14:textId="77777777" w:rsidR="00636BD8" w:rsidRPr="00661241" w:rsidRDefault="00636BD8" w:rsidP="00636BD8">
            <w:pPr>
              <w:ind w:right="-132"/>
              <w:rPr>
                <w:color w:val="000000" w:themeColor="text1"/>
              </w:rPr>
            </w:pPr>
            <w:r w:rsidRPr="00661241">
              <w:rPr>
                <w:color w:val="000000" w:themeColor="text1"/>
              </w:rPr>
              <w:t>-0.</w:t>
            </w:r>
            <w:r>
              <w:rPr>
                <w:color w:val="000000" w:themeColor="text1"/>
              </w:rPr>
              <w:t>141</w:t>
            </w:r>
            <w:r w:rsidRPr="00661241">
              <w:rPr>
                <w:color w:val="000000" w:themeColor="text1"/>
              </w:rPr>
              <w:t>***</w:t>
            </w:r>
          </w:p>
        </w:tc>
        <w:tc>
          <w:tcPr>
            <w:tcW w:w="637" w:type="pct"/>
            <w:gridSpan w:val="3"/>
            <w:tcBorders>
              <w:top w:val="nil"/>
              <w:left w:val="nil"/>
              <w:bottom w:val="nil"/>
              <w:right w:val="nil"/>
            </w:tcBorders>
            <w:vAlign w:val="center"/>
          </w:tcPr>
          <w:p w14:paraId="72E42F65" w14:textId="77777777" w:rsidR="00636BD8" w:rsidRPr="00661241" w:rsidRDefault="00636BD8" w:rsidP="00636BD8">
            <w:pPr>
              <w:rPr>
                <w:color w:val="000000" w:themeColor="text1"/>
              </w:rPr>
            </w:pPr>
            <w:r w:rsidRPr="00661241">
              <w:rPr>
                <w:color w:val="000000" w:themeColor="text1"/>
              </w:rPr>
              <w:t>(0.0</w:t>
            </w:r>
            <w:r>
              <w:rPr>
                <w:color w:val="000000" w:themeColor="text1"/>
              </w:rPr>
              <w:t>40</w:t>
            </w:r>
            <w:r w:rsidRPr="00661241">
              <w:rPr>
                <w:color w:val="000000" w:themeColor="text1"/>
              </w:rPr>
              <w:t>)</w:t>
            </w:r>
          </w:p>
        </w:tc>
      </w:tr>
      <w:tr w:rsidR="00636BD8" w:rsidRPr="00661241" w14:paraId="37724659" w14:textId="77777777" w:rsidTr="00C83D17">
        <w:trPr>
          <w:gridAfter w:val="1"/>
          <w:wAfter w:w="155" w:type="pct"/>
          <w:cantSplit/>
          <w:jc w:val="center"/>
        </w:trPr>
        <w:tc>
          <w:tcPr>
            <w:tcW w:w="736" w:type="pct"/>
            <w:tcBorders>
              <w:top w:val="nil"/>
              <w:left w:val="nil"/>
              <w:bottom w:val="nil"/>
              <w:right w:val="nil"/>
            </w:tcBorders>
            <w:vAlign w:val="center"/>
          </w:tcPr>
          <w:p w14:paraId="5ED0BE0B" w14:textId="77777777" w:rsidR="00636BD8" w:rsidRPr="00661241" w:rsidRDefault="00636BD8" w:rsidP="00636BD8">
            <w:pPr>
              <w:ind w:right="-180"/>
              <w:rPr>
                <w:rFonts w:eastAsia="Times New Roman"/>
              </w:rPr>
            </w:pPr>
            <w:r w:rsidRPr="00661241">
              <w:rPr>
                <w:rFonts w:eastAsia="Times New Roman"/>
              </w:rPr>
              <w:t>IGO Membership</w:t>
            </w:r>
            <w:r w:rsidRPr="00661241">
              <w:rPr>
                <w:rFonts w:eastAsia="Times New Roman"/>
                <w:vertAlign w:val="subscript"/>
              </w:rPr>
              <w:t xml:space="preserve"> t-1</w:t>
            </w:r>
          </w:p>
        </w:tc>
        <w:tc>
          <w:tcPr>
            <w:tcW w:w="733" w:type="pct"/>
            <w:tcBorders>
              <w:top w:val="nil"/>
              <w:left w:val="nil"/>
              <w:bottom w:val="nil"/>
              <w:right w:val="nil"/>
            </w:tcBorders>
            <w:vAlign w:val="center"/>
          </w:tcPr>
          <w:p w14:paraId="09178BC2" w14:textId="77777777" w:rsidR="00636BD8" w:rsidRPr="00661241" w:rsidRDefault="00636BD8" w:rsidP="00636BD8">
            <w:pPr>
              <w:rPr>
                <w:color w:val="000000" w:themeColor="text1"/>
              </w:rPr>
            </w:pPr>
            <w:r w:rsidRPr="00661241">
              <w:rPr>
                <w:color w:val="000000" w:themeColor="text1"/>
              </w:rPr>
              <w:t>-0.</w:t>
            </w:r>
            <w:r>
              <w:rPr>
                <w:color w:val="000000" w:themeColor="text1"/>
              </w:rPr>
              <w:t>169</w:t>
            </w:r>
            <w:r w:rsidRPr="00661241">
              <w:rPr>
                <w:color w:val="000000" w:themeColor="text1"/>
              </w:rPr>
              <w:t>**</w:t>
            </w:r>
            <w:r>
              <w:rPr>
                <w:color w:val="000000" w:themeColor="text1"/>
              </w:rPr>
              <w:t>*</w:t>
            </w:r>
          </w:p>
        </w:tc>
        <w:tc>
          <w:tcPr>
            <w:tcW w:w="637" w:type="pct"/>
            <w:gridSpan w:val="2"/>
            <w:tcBorders>
              <w:top w:val="nil"/>
              <w:left w:val="nil"/>
              <w:bottom w:val="nil"/>
              <w:right w:val="nil"/>
            </w:tcBorders>
            <w:vAlign w:val="center"/>
          </w:tcPr>
          <w:p w14:paraId="67594A32" w14:textId="77777777" w:rsidR="00636BD8" w:rsidRPr="00661241" w:rsidRDefault="00636BD8" w:rsidP="00636BD8">
            <w:pPr>
              <w:rPr>
                <w:color w:val="000000" w:themeColor="text1"/>
              </w:rPr>
            </w:pPr>
            <w:r w:rsidRPr="00661241">
              <w:rPr>
                <w:color w:val="000000" w:themeColor="text1"/>
              </w:rPr>
              <w:t>(0.04</w:t>
            </w:r>
            <w:r>
              <w:rPr>
                <w:color w:val="000000" w:themeColor="text1"/>
              </w:rPr>
              <w:t>5</w:t>
            </w:r>
            <w:r w:rsidRPr="00661241">
              <w:rPr>
                <w:color w:val="000000" w:themeColor="text1"/>
              </w:rPr>
              <w:t>)</w:t>
            </w:r>
          </w:p>
        </w:tc>
        <w:tc>
          <w:tcPr>
            <w:tcW w:w="733" w:type="pct"/>
            <w:tcBorders>
              <w:top w:val="nil"/>
              <w:left w:val="nil"/>
              <w:bottom w:val="nil"/>
              <w:right w:val="nil"/>
            </w:tcBorders>
            <w:vAlign w:val="center"/>
          </w:tcPr>
          <w:p w14:paraId="67804D42" w14:textId="77777777" w:rsidR="00636BD8" w:rsidRPr="00661241" w:rsidRDefault="00636BD8" w:rsidP="00636BD8">
            <w:pPr>
              <w:ind w:right="-96"/>
              <w:rPr>
                <w:color w:val="000000" w:themeColor="text1"/>
              </w:rPr>
            </w:pPr>
            <w:r>
              <w:rPr>
                <w:color w:val="000000" w:themeColor="text1"/>
              </w:rPr>
              <w:t>-0.200***</w:t>
            </w:r>
          </w:p>
        </w:tc>
        <w:tc>
          <w:tcPr>
            <w:tcW w:w="637" w:type="pct"/>
            <w:gridSpan w:val="3"/>
            <w:tcBorders>
              <w:top w:val="nil"/>
              <w:left w:val="nil"/>
              <w:bottom w:val="nil"/>
              <w:right w:val="nil"/>
            </w:tcBorders>
            <w:vAlign w:val="center"/>
          </w:tcPr>
          <w:p w14:paraId="4020C8CC" w14:textId="77777777" w:rsidR="00636BD8" w:rsidRPr="00661241" w:rsidRDefault="00636BD8" w:rsidP="00636BD8">
            <w:pPr>
              <w:rPr>
                <w:color w:val="000000" w:themeColor="text1"/>
              </w:rPr>
            </w:pPr>
            <w:r>
              <w:rPr>
                <w:color w:val="000000" w:themeColor="text1"/>
              </w:rPr>
              <w:t>(0.057)</w:t>
            </w:r>
          </w:p>
        </w:tc>
        <w:tc>
          <w:tcPr>
            <w:tcW w:w="733" w:type="pct"/>
            <w:gridSpan w:val="2"/>
            <w:tcBorders>
              <w:top w:val="nil"/>
              <w:left w:val="nil"/>
              <w:bottom w:val="nil"/>
              <w:right w:val="nil"/>
            </w:tcBorders>
            <w:vAlign w:val="center"/>
          </w:tcPr>
          <w:p w14:paraId="44C4228F" w14:textId="77777777" w:rsidR="00636BD8" w:rsidRPr="00661241" w:rsidRDefault="00636BD8" w:rsidP="00636BD8">
            <w:pPr>
              <w:ind w:right="-132"/>
              <w:rPr>
                <w:color w:val="000000" w:themeColor="text1"/>
              </w:rPr>
            </w:pPr>
            <w:r w:rsidRPr="00661241">
              <w:rPr>
                <w:color w:val="000000" w:themeColor="text1"/>
              </w:rPr>
              <w:t>-0.</w:t>
            </w:r>
            <w:r>
              <w:rPr>
                <w:color w:val="000000" w:themeColor="text1"/>
              </w:rPr>
              <w:t>186*</w:t>
            </w:r>
            <w:r w:rsidRPr="00661241">
              <w:rPr>
                <w:rFonts w:cs="Times"/>
              </w:rPr>
              <w:t>**</w:t>
            </w:r>
          </w:p>
        </w:tc>
        <w:tc>
          <w:tcPr>
            <w:tcW w:w="637" w:type="pct"/>
            <w:gridSpan w:val="3"/>
            <w:tcBorders>
              <w:top w:val="nil"/>
              <w:left w:val="nil"/>
              <w:bottom w:val="nil"/>
              <w:right w:val="nil"/>
            </w:tcBorders>
            <w:vAlign w:val="center"/>
          </w:tcPr>
          <w:p w14:paraId="336EA9BB" w14:textId="77777777" w:rsidR="00636BD8" w:rsidRPr="00661241" w:rsidRDefault="00636BD8" w:rsidP="00636BD8">
            <w:pPr>
              <w:rPr>
                <w:color w:val="000000" w:themeColor="text1"/>
              </w:rPr>
            </w:pPr>
            <w:r w:rsidRPr="00661241">
              <w:rPr>
                <w:color w:val="000000" w:themeColor="text1"/>
              </w:rPr>
              <w:t>(0.</w:t>
            </w:r>
            <w:r>
              <w:rPr>
                <w:color w:val="000000" w:themeColor="text1"/>
              </w:rPr>
              <w:t>050</w:t>
            </w:r>
            <w:r w:rsidRPr="00661241">
              <w:rPr>
                <w:color w:val="000000" w:themeColor="text1"/>
              </w:rPr>
              <w:t>)</w:t>
            </w:r>
          </w:p>
        </w:tc>
      </w:tr>
      <w:tr w:rsidR="00636BD8" w:rsidRPr="00661241" w14:paraId="1197802B" w14:textId="77777777" w:rsidTr="00C83D17">
        <w:trPr>
          <w:gridAfter w:val="1"/>
          <w:wAfter w:w="155" w:type="pct"/>
          <w:cantSplit/>
          <w:jc w:val="center"/>
        </w:trPr>
        <w:tc>
          <w:tcPr>
            <w:tcW w:w="736" w:type="pct"/>
            <w:tcBorders>
              <w:top w:val="nil"/>
              <w:left w:val="nil"/>
              <w:bottom w:val="nil"/>
              <w:right w:val="nil"/>
            </w:tcBorders>
            <w:vAlign w:val="center"/>
          </w:tcPr>
          <w:p w14:paraId="36018EE3" w14:textId="77777777" w:rsidR="00636BD8" w:rsidRPr="00661241" w:rsidRDefault="00636BD8" w:rsidP="00636BD8">
            <w:pPr>
              <w:ind w:right="-180"/>
              <w:rPr>
                <w:rFonts w:eastAsia="Times New Roman"/>
              </w:rPr>
            </w:pPr>
            <w:r w:rsidRPr="00661241">
              <w:rPr>
                <w:rFonts w:eastAsia="Times New Roman"/>
              </w:rPr>
              <w:t>External Alliances</w:t>
            </w:r>
            <w:r w:rsidRPr="00661241">
              <w:rPr>
                <w:rFonts w:eastAsia="Times New Roman"/>
                <w:vertAlign w:val="subscript"/>
              </w:rPr>
              <w:t xml:space="preserve"> t-1</w:t>
            </w:r>
          </w:p>
        </w:tc>
        <w:tc>
          <w:tcPr>
            <w:tcW w:w="733" w:type="pct"/>
            <w:tcBorders>
              <w:top w:val="nil"/>
              <w:left w:val="nil"/>
              <w:bottom w:val="nil"/>
              <w:right w:val="nil"/>
            </w:tcBorders>
            <w:vAlign w:val="center"/>
          </w:tcPr>
          <w:p w14:paraId="74D36A09" w14:textId="77777777" w:rsidR="00636BD8" w:rsidRPr="00661241" w:rsidRDefault="00636BD8" w:rsidP="00636BD8">
            <w:pPr>
              <w:rPr>
                <w:color w:val="000000" w:themeColor="text1"/>
              </w:rPr>
            </w:pPr>
            <w:r w:rsidRPr="00661241">
              <w:rPr>
                <w:color w:val="000000" w:themeColor="text1"/>
              </w:rPr>
              <w:t>0.08</w:t>
            </w:r>
            <w:r>
              <w:rPr>
                <w:color w:val="000000" w:themeColor="text1"/>
              </w:rPr>
              <w:t>0</w:t>
            </w:r>
            <w:r w:rsidRPr="00661241">
              <w:rPr>
                <w:color w:val="000000" w:themeColor="text1"/>
              </w:rPr>
              <w:t>**</w:t>
            </w:r>
          </w:p>
        </w:tc>
        <w:tc>
          <w:tcPr>
            <w:tcW w:w="637" w:type="pct"/>
            <w:gridSpan w:val="2"/>
            <w:tcBorders>
              <w:top w:val="nil"/>
              <w:left w:val="nil"/>
              <w:bottom w:val="nil"/>
              <w:right w:val="nil"/>
            </w:tcBorders>
            <w:vAlign w:val="center"/>
          </w:tcPr>
          <w:p w14:paraId="6D97D7B9" w14:textId="77777777" w:rsidR="00636BD8" w:rsidRPr="00661241" w:rsidRDefault="00636BD8" w:rsidP="00636BD8">
            <w:pPr>
              <w:rPr>
                <w:color w:val="000000" w:themeColor="text1"/>
              </w:rPr>
            </w:pPr>
            <w:r w:rsidRPr="00661241">
              <w:rPr>
                <w:color w:val="000000" w:themeColor="text1"/>
              </w:rPr>
              <w:t>(0.026)</w:t>
            </w:r>
          </w:p>
        </w:tc>
        <w:tc>
          <w:tcPr>
            <w:tcW w:w="733" w:type="pct"/>
            <w:tcBorders>
              <w:top w:val="nil"/>
              <w:left w:val="nil"/>
              <w:bottom w:val="nil"/>
              <w:right w:val="nil"/>
            </w:tcBorders>
            <w:vAlign w:val="center"/>
          </w:tcPr>
          <w:p w14:paraId="753BC92B" w14:textId="77777777" w:rsidR="00636BD8" w:rsidRPr="00661241" w:rsidRDefault="00636BD8" w:rsidP="00636BD8">
            <w:pPr>
              <w:ind w:right="-96"/>
              <w:rPr>
                <w:color w:val="000000" w:themeColor="text1"/>
              </w:rPr>
            </w:pPr>
            <w:r>
              <w:rPr>
                <w:color w:val="000000" w:themeColor="text1"/>
              </w:rPr>
              <w:t>0.050</w:t>
            </w:r>
          </w:p>
        </w:tc>
        <w:tc>
          <w:tcPr>
            <w:tcW w:w="637" w:type="pct"/>
            <w:gridSpan w:val="3"/>
            <w:tcBorders>
              <w:top w:val="nil"/>
              <w:left w:val="nil"/>
              <w:bottom w:val="nil"/>
              <w:right w:val="nil"/>
            </w:tcBorders>
            <w:vAlign w:val="center"/>
          </w:tcPr>
          <w:p w14:paraId="11A1654B" w14:textId="77777777" w:rsidR="00636BD8" w:rsidRPr="00661241" w:rsidRDefault="00636BD8" w:rsidP="00636BD8">
            <w:pPr>
              <w:rPr>
                <w:color w:val="000000" w:themeColor="text1"/>
              </w:rPr>
            </w:pPr>
            <w:r>
              <w:rPr>
                <w:color w:val="000000" w:themeColor="text1"/>
              </w:rPr>
              <w:t>(0.029)</w:t>
            </w:r>
          </w:p>
        </w:tc>
        <w:tc>
          <w:tcPr>
            <w:tcW w:w="733" w:type="pct"/>
            <w:gridSpan w:val="2"/>
            <w:tcBorders>
              <w:top w:val="nil"/>
              <w:left w:val="nil"/>
              <w:bottom w:val="nil"/>
              <w:right w:val="nil"/>
            </w:tcBorders>
            <w:vAlign w:val="center"/>
          </w:tcPr>
          <w:p w14:paraId="77B7ACA9" w14:textId="77777777" w:rsidR="00636BD8" w:rsidRPr="00661241" w:rsidRDefault="00636BD8" w:rsidP="00636BD8">
            <w:pPr>
              <w:ind w:right="-132"/>
              <w:rPr>
                <w:color w:val="000000" w:themeColor="text1"/>
              </w:rPr>
            </w:pPr>
            <w:r w:rsidRPr="00661241">
              <w:rPr>
                <w:color w:val="000000" w:themeColor="text1"/>
              </w:rPr>
              <w:t>0.1</w:t>
            </w:r>
            <w:r>
              <w:rPr>
                <w:color w:val="000000" w:themeColor="text1"/>
              </w:rPr>
              <w:t>24</w:t>
            </w:r>
            <w:r w:rsidRPr="00661241">
              <w:rPr>
                <w:color w:val="000000" w:themeColor="text1"/>
              </w:rPr>
              <w:t>***</w:t>
            </w:r>
          </w:p>
        </w:tc>
        <w:tc>
          <w:tcPr>
            <w:tcW w:w="637" w:type="pct"/>
            <w:gridSpan w:val="3"/>
            <w:tcBorders>
              <w:top w:val="nil"/>
              <w:left w:val="nil"/>
              <w:bottom w:val="nil"/>
              <w:right w:val="nil"/>
            </w:tcBorders>
            <w:vAlign w:val="center"/>
          </w:tcPr>
          <w:p w14:paraId="5C67B4FF" w14:textId="77777777" w:rsidR="00636BD8" w:rsidRPr="00661241" w:rsidRDefault="00636BD8" w:rsidP="00636BD8">
            <w:pPr>
              <w:rPr>
                <w:color w:val="000000" w:themeColor="text1"/>
              </w:rPr>
            </w:pPr>
            <w:r w:rsidRPr="00661241">
              <w:rPr>
                <w:color w:val="000000" w:themeColor="text1"/>
              </w:rPr>
              <w:t>(0.026)</w:t>
            </w:r>
          </w:p>
        </w:tc>
      </w:tr>
      <w:tr w:rsidR="00636BD8" w:rsidRPr="00661241" w14:paraId="349F17E3" w14:textId="77777777" w:rsidTr="00C83D17">
        <w:trPr>
          <w:gridAfter w:val="1"/>
          <w:wAfter w:w="155" w:type="pct"/>
          <w:cantSplit/>
          <w:jc w:val="center"/>
        </w:trPr>
        <w:tc>
          <w:tcPr>
            <w:tcW w:w="736" w:type="pct"/>
            <w:tcBorders>
              <w:top w:val="nil"/>
              <w:left w:val="nil"/>
              <w:bottom w:val="nil"/>
              <w:right w:val="nil"/>
            </w:tcBorders>
            <w:vAlign w:val="center"/>
          </w:tcPr>
          <w:p w14:paraId="7C1CA9D0" w14:textId="77777777" w:rsidR="00636BD8" w:rsidRPr="00661241" w:rsidRDefault="00636BD8" w:rsidP="00636BD8">
            <w:pPr>
              <w:ind w:right="-180"/>
              <w:rPr>
                <w:rFonts w:eastAsia="Times New Roman"/>
              </w:rPr>
            </w:pPr>
            <w:r w:rsidRPr="00661241">
              <w:rPr>
                <w:rFonts w:eastAsia="Times New Roman"/>
              </w:rPr>
              <w:t>Cold War</w:t>
            </w:r>
          </w:p>
        </w:tc>
        <w:tc>
          <w:tcPr>
            <w:tcW w:w="733" w:type="pct"/>
            <w:tcBorders>
              <w:top w:val="nil"/>
              <w:left w:val="nil"/>
              <w:bottom w:val="nil"/>
              <w:right w:val="nil"/>
            </w:tcBorders>
            <w:vAlign w:val="center"/>
          </w:tcPr>
          <w:p w14:paraId="72AB999B" w14:textId="77777777" w:rsidR="00636BD8" w:rsidRPr="00661241" w:rsidRDefault="00636BD8" w:rsidP="00636BD8">
            <w:pPr>
              <w:rPr>
                <w:color w:val="000000" w:themeColor="text1"/>
              </w:rPr>
            </w:pPr>
            <w:r w:rsidRPr="00661241">
              <w:rPr>
                <w:color w:val="000000" w:themeColor="text1"/>
              </w:rPr>
              <w:t>-0.</w:t>
            </w:r>
            <w:r>
              <w:rPr>
                <w:color w:val="000000" w:themeColor="text1"/>
              </w:rPr>
              <w:t>054</w:t>
            </w:r>
            <w:r w:rsidRPr="00661241">
              <w:rPr>
                <w:color w:val="000000" w:themeColor="text1"/>
              </w:rPr>
              <w:t>**</w:t>
            </w:r>
          </w:p>
        </w:tc>
        <w:tc>
          <w:tcPr>
            <w:tcW w:w="637" w:type="pct"/>
            <w:gridSpan w:val="2"/>
            <w:tcBorders>
              <w:top w:val="nil"/>
              <w:left w:val="nil"/>
              <w:bottom w:val="nil"/>
              <w:right w:val="nil"/>
            </w:tcBorders>
            <w:vAlign w:val="center"/>
          </w:tcPr>
          <w:p w14:paraId="3C30B1B1" w14:textId="77777777" w:rsidR="00636BD8" w:rsidRPr="00661241" w:rsidRDefault="00636BD8" w:rsidP="00636BD8">
            <w:pPr>
              <w:rPr>
                <w:color w:val="000000" w:themeColor="text1"/>
              </w:rPr>
            </w:pPr>
            <w:r w:rsidRPr="00661241">
              <w:rPr>
                <w:color w:val="000000" w:themeColor="text1"/>
              </w:rPr>
              <w:t>(0.023)</w:t>
            </w:r>
          </w:p>
        </w:tc>
        <w:tc>
          <w:tcPr>
            <w:tcW w:w="733" w:type="pct"/>
            <w:tcBorders>
              <w:top w:val="nil"/>
              <w:left w:val="nil"/>
              <w:bottom w:val="nil"/>
              <w:right w:val="nil"/>
            </w:tcBorders>
            <w:vAlign w:val="center"/>
          </w:tcPr>
          <w:p w14:paraId="331D99CF" w14:textId="77777777" w:rsidR="00636BD8" w:rsidRPr="00661241" w:rsidRDefault="00636BD8" w:rsidP="00636BD8">
            <w:pPr>
              <w:ind w:right="-96"/>
              <w:rPr>
                <w:color w:val="000000" w:themeColor="text1"/>
              </w:rPr>
            </w:pPr>
            <w:r>
              <w:rPr>
                <w:color w:val="000000" w:themeColor="text1"/>
              </w:rPr>
              <w:t>-0.044</w:t>
            </w:r>
          </w:p>
        </w:tc>
        <w:tc>
          <w:tcPr>
            <w:tcW w:w="637" w:type="pct"/>
            <w:gridSpan w:val="3"/>
            <w:tcBorders>
              <w:top w:val="nil"/>
              <w:left w:val="nil"/>
              <w:bottom w:val="nil"/>
              <w:right w:val="nil"/>
            </w:tcBorders>
            <w:vAlign w:val="center"/>
          </w:tcPr>
          <w:p w14:paraId="11A2711F" w14:textId="77777777" w:rsidR="00636BD8" w:rsidRPr="00661241" w:rsidRDefault="00636BD8" w:rsidP="00636BD8">
            <w:pPr>
              <w:rPr>
                <w:color w:val="000000" w:themeColor="text1"/>
              </w:rPr>
            </w:pPr>
            <w:r>
              <w:rPr>
                <w:color w:val="000000" w:themeColor="text1"/>
              </w:rPr>
              <w:t>(0.024)</w:t>
            </w:r>
          </w:p>
        </w:tc>
        <w:tc>
          <w:tcPr>
            <w:tcW w:w="733" w:type="pct"/>
            <w:gridSpan w:val="2"/>
            <w:tcBorders>
              <w:top w:val="nil"/>
              <w:left w:val="nil"/>
              <w:bottom w:val="nil"/>
              <w:right w:val="nil"/>
            </w:tcBorders>
            <w:vAlign w:val="center"/>
          </w:tcPr>
          <w:p w14:paraId="1FDA5A5A" w14:textId="77777777" w:rsidR="00636BD8" w:rsidRPr="00661241" w:rsidRDefault="00636BD8" w:rsidP="00636BD8">
            <w:pPr>
              <w:ind w:right="-132"/>
              <w:rPr>
                <w:color w:val="000000" w:themeColor="text1"/>
              </w:rPr>
            </w:pPr>
            <w:r w:rsidRPr="00661241">
              <w:rPr>
                <w:color w:val="000000" w:themeColor="text1"/>
              </w:rPr>
              <w:t>-0.</w:t>
            </w:r>
            <w:r>
              <w:rPr>
                <w:color w:val="000000" w:themeColor="text1"/>
              </w:rPr>
              <w:t>081</w:t>
            </w:r>
            <w:r w:rsidRPr="00661241">
              <w:rPr>
                <w:color w:val="000000" w:themeColor="text1"/>
              </w:rPr>
              <w:t>**</w:t>
            </w:r>
          </w:p>
        </w:tc>
        <w:tc>
          <w:tcPr>
            <w:tcW w:w="637" w:type="pct"/>
            <w:gridSpan w:val="3"/>
            <w:tcBorders>
              <w:top w:val="nil"/>
              <w:left w:val="nil"/>
              <w:bottom w:val="nil"/>
              <w:right w:val="nil"/>
            </w:tcBorders>
            <w:vAlign w:val="center"/>
          </w:tcPr>
          <w:p w14:paraId="16C8E8FE" w14:textId="77777777" w:rsidR="00636BD8" w:rsidRPr="00661241" w:rsidRDefault="00636BD8" w:rsidP="00636BD8">
            <w:pPr>
              <w:rPr>
                <w:color w:val="000000" w:themeColor="text1"/>
              </w:rPr>
            </w:pPr>
            <w:r w:rsidRPr="00661241">
              <w:rPr>
                <w:color w:val="000000" w:themeColor="text1"/>
              </w:rPr>
              <w:t>(0.02</w:t>
            </w:r>
            <w:r>
              <w:rPr>
                <w:color w:val="000000" w:themeColor="text1"/>
              </w:rPr>
              <w:t>7</w:t>
            </w:r>
            <w:r w:rsidRPr="00661241">
              <w:rPr>
                <w:color w:val="000000" w:themeColor="text1"/>
              </w:rPr>
              <w:t>)</w:t>
            </w:r>
          </w:p>
        </w:tc>
      </w:tr>
      <w:tr w:rsidR="00636BD8" w:rsidRPr="00661241" w14:paraId="7887734A" w14:textId="77777777" w:rsidTr="00C83D17">
        <w:trPr>
          <w:gridAfter w:val="1"/>
          <w:wAfter w:w="155" w:type="pct"/>
          <w:cantSplit/>
          <w:jc w:val="center"/>
        </w:trPr>
        <w:tc>
          <w:tcPr>
            <w:tcW w:w="736" w:type="pct"/>
            <w:tcBorders>
              <w:top w:val="nil"/>
              <w:left w:val="nil"/>
              <w:bottom w:val="nil"/>
              <w:right w:val="nil"/>
            </w:tcBorders>
            <w:vAlign w:val="center"/>
          </w:tcPr>
          <w:p w14:paraId="56644178" w14:textId="77777777" w:rsidR="00636BD8" w:rsidRPr="00661241" w:rsidRDefault="00636BD8" w:rsidP="00636BD8">
            <w:pPr>
              <w:ind w:right="-180"/>
              <w:rPr>
                <w:rFonts w:eastAsia="Times New Roman"/>
              </w:rPr>
            </w:pPr>
            <w:r w:rsidRPr="00661241">
              <w:rPr>
                <w:rFonts w:eastAsia="Times New Roman"/>
              </w:rPr>
              <w:t>Time Counter</w:t>
            </w:r>
          </w:p>
        </w:tc>
        <w:tc>
          <w:tcPr>
            <w:tcW w:w="733" w:type="pct"/>
            <w:tcBorders>
              <w:top w:val="nil"/>
              <w:left w:val="nil"/>
              <w:bottom w:val="nil"/>
              <w:right w:val="nil"/>
            </w:tcBorders>
            <w:vAlign w:val="center"/>
          </w:tcPr>
          <w:p w14:paraId="5F3088E9" w14:textId="77777777" w:rsidR="00636BD8" w:rsidRPr="00661241" w:rsidRDefault="00636BD8" w:rsidP="00636BD8">
            <w:pPr>
              <w:rPr>
                <w:color w:val="000000" w:themeColor="text1"/>
              </w:rPr>
            </w:pPr>
            <w:r w:rsidRPr="00661241">
              <w:rPr>
                <w:color w:val="000000" w:themeColor="text1"/>
              </w:rPr>
              <w:t>-0.00</w:t>
            </w:r>
            <w:r>
              <w:rPr>
                <w:color w:val="000000" w:themeColor="text1"/>
              </w:rPr>
              <w:t>3</w:t>
            </w:r>
          </w:p>
        </w:tc>
        <w:tc>
          <w:tcPr>
            <w:tcW w:w="637" w:type="pct"/>
            <w:gridSpan w:val="2"/>
            <w:tcBorders>
              <w:top w:val="nil"/>
              <w:left w:val="nil"/>
              <w:bottom w:val="nil"/>
              <w:right w:val="nil"/>
            </w:tcBorders>
            <w:vAlign w:val="center"/>
          </w:tcPr>
          <w:p w14:paraId="64013732" w14:textId="77777777" w:rsidR="00636BD8" w:rsidRPr="00661241" w:rsidRDefault="00636BD8" w:rsidP="00636BD8">
            <w:pPr>
              <w:rPr>
                <w:color w:val="000000" w:themeColor="text1"/>
              </w:rPr>
            </w:pPr>
            <w:r w:rsidRPr="00661241">
              <w:rPr>
                <w:color w:val="000000" w:themeColor="text1"/>
              </w:rPr>
              <w:t>(0.004)</w:t>
            </w:r>
          </w:p>
        </w:tc>
        <w:tc>
          <w:tcPr>
            <w:tcW w:w="733" w:type="pct"/>
            <w:tcBorders>
              <w:top w:val="nil"/>
              <w:left w:val="nil"/>
              <w:bottom w:val="nil"/>
              <w:right w:val="nil"/>
            </w:tcBorders>
            <w:vAlign w:val="center"/>
          </w:tcPr>
          <w:p w14:paraId="1DAF703A" w14:textId="77777777" w:rsidR="00636BD8" w:rsidRPr="00661241" w:rsidRDefault="00636BD8" w:rsidP="00636BD8">
            <w:pPr>
              <w:ind w:right="-96"/>
              <w:rPr>
                <w:color w:val="000000" w:themeColor="text1"/>
              </w:rPr>
            </w:pPr>
            <w:r>
              <w:rPr>
                <w:color w:val="000000" w:themeColor="text1"/>
              </w:rPr>
              <w:t>-0.004</w:t>
            </w:r>
          </w:p>
        </w:tc>
        <w:tc>
          <w:tcPr>
            <w:tcW w:w="637" w:type="pct"/>
            <w:gridSpan w:val="3"/>
            <w:tcBorders>
              <w:top w:val="nil"/>
              <w:left w:val="nil"/>
              <w:bottom w:val="nil"/>
              <w:right w:val="nil"/>
            </w:tcBorders>
            <w:vAlign w:val="center"/>
          </w:tcPr>
          <w:p w14:paraId="6E712C98" w14:textId="77777777" w:rsidR="00636BD8" w:rsidRPr="00661241" w:rsidRDefault="00636BD8" w:rsidP="00636BD8">
            <w:pPr>
              <w:rPr>
                <w:color w:val="000000" w:themeColor="text1"/>
              </w:rPr>
            </w:pPr>
            <w:r>
              <w:rPr>
                <w:color w:val="000000" w:themeColor="text1"/>
              </w:rPr>
              <w:t>(0.004)</w:t>
            </w:r>
          </w:p>
        </w:tc>
        <w:tc>
          <w:tcPr>
            <w:tcW w:w="733" w:type="pct"/>
            <w:gridSpan w:val="2"/>
            <w:tcBorders>
              <w:top w:val="nil"/>
              <w:left w:val="nil"/>
              <w:bottom w:val="nil"/>
              <w:right w:val="nil"/>
            </w:tcBorders>
            <w:vAlign w:val="center"/>
          </w:tcPr>
          <w:p w14:paraId="06C8C705" w14:textId="77777777" w:rsidR="00636BD8" w:rsidRPr="00661241" w:rsidRDefault="00636BD8" w:rsidP="00636BD8">
            <w:pPr>
              <w:ind w:right="-132"/>
              <w:rPr>
                <w:color w:val="000000" w:themeColor="text1"/>
              </w:rPr>
            </w:pPr>
            <w:r w:rsidRPr="00661241">
              <w:rPr>
                <w:color w:val="000000" w:themeColor="text1"/>
              </w:rPr>
              <w:t>-0.00</w:t>
            </w:r>
            <w:r>
              <w:rPr>
                <w:color w:val="000000" w:themeColor="text1"/>
              </w:rPr>
              <w:t>6</w:t>
            </w:r>
          </w:p>
        </w:tc>
        <w:tc>
          <w:tcPr>
            <w:tcW w:w="637" w:type="pct"/>
            <w:gridSpan w:val="3"/>
            <w:tcBorders>
              <w:top w:val="nil"/>
              <w:left w:val="nil"/>
              <w:bottom w:val="nil"/>
              <w:right w:val="nil"/>
            </w:tcBorders>
            <w:vAlign w:val="center"/>
          </w:tcPr>
          <w:p w14:paraId="5F87D1C6" w14:textId="77777777" w:rsidR="00636BD8" w:rsidRPr="00661241" w:rsidRDefault="00636BD8" w:rsidP="00636BD8">
            <w:pPr>
              <w:rPr>
                <w:color w:val="000000" w:themeColor="text1"/>
              </w:rPr>
            </w:pPr>
            <w:r w:rsidRPr="00661241">
              <w:rPr>
                <w:color w:val="000000" w:themeColor="text1"/>
              </w:rPr>
              <w:t>(0.004)</w:t>
            </w:r>
          </w:p>
        </w:tc>
      </w:tr>
      <w:tr w:rsidR="00636BD8" w:rsidRPr="00661241" w14:paraId="3D7F9D9D" w14:textId="77777777" w:rsidTr="00C83D17">
        <w:trPr>
          <w:gridAfter w:val="1"/>
          <w:wAfter w:w="155" w:type="pct"/>
          <w:cantSplit/>
          <w:jc w:val="center"/>
        </w:trPr>
        <w:tc>
          <w:tcPr>
            <w:tcW w:w="736" w:type="pct"/>
            <w:tcBorders>
              <w:top w:val="nil"/>
              <w:left w:val="nil"/>
              <w:bottom w:val="single" w:sz="4" w:space="0" w:color="auto"/>
              <w:right w:val="nil"/>
            </w:tcBorders>
            <w:vAlign w:val="center"/>
          </w:tcPr>
          <w:p w14:paraId="7F5EE054" w14:textId="77777777" w:rsidR="00636BD8" w:rsidRPr="00661241" w:rsidRDefault="00636BD8" w:rsidP="00636BD8">
            <w:pPr>
              <w:ind w:right="-180"/>
              <w:rPr>
                <w:rFonts w:eastAsia="Times New Roman"/>
              </w:rPr>
            </w:pPr>
            <w:r w:rsidRPr="00661241">
              <w:rPr>
                <w:rFonts w:eastAsia="Times New Roman"/>
              </w:rPr>
              <w:t>Constant</w:t>
            </w:r>
          </w:p>
        </w:tc>
        <w:tc>
          <w:tcPr>
            <w:tcW w:w="733" w:type="pct"/>
            <w:tcBorders>
              <w:top w:val="nil"/>
              <w:left w:val="nil"/>
              <w:bottom w:val="single" w:sz="4" w:space="0" w:color="auto"/>
              <w:right w:val="nil"/>
            </w:tcBorders>
            <w:vAlign w:val="center"/>
          </w:tcPr>
          <w:p w14:paraId="75D0FFDB" w14:textId="77777777" w:rsidR="00636BD8" w:rsidRPr="00661241" w:rsidRDefault="00636BD8" w:rsidP="00636BD8">
            <w:pPr>
              <w:rPr>
                <w:color w:val="000000" w:themeColor="text1"/>
              </w:rPr>
            </w:pPr>
            <w:r w:rsidRPr="00661241">
              <w:rPr>
                <w:color w:val="000000" w:themeColor="text1"/>
              </w:rPr>
              <w:t>0.2</w:t>
            </w:r>
            <w:r>
              <w:rPr>
                <w:color w:val="000000" w:themeColor="text1"/>
              </w:rPr>
              <w:t>27</w:t>
            </w:r>
            <w:r w:rsidRPr="00661241">
              <w:rPr>
                <w:color w:val="000000" w:themeColor="text1"/>
              </w:rPr>
              <w:t>***</w:t>
            </w:r>
          </w:p>
        </w:tc>
        <w:tc>
          <w:tcPr>
            <w:tcW w:w="637" w:type="pct"/>
            <w:gridSpan w:val="2"/>
            <w:tcBorders>
              <w:top w:val="nil"/>
              <w:left w:val="nil"/>
              <w:bottom w:val="single" w:sz="4" w:space="0" w:color="auto"/>
              <w:right w:val="nil"/>
            </w:tcBorders>
            <w:vAlign w:val="center"/>
          </w:tcPr>
          <w:p w14:paraId="6DF472CF" w14:textId="77777777" w:rsidR="00636BD8" w:rsidRPr="00661241" w:rsidRDefault="00636BD8" w:rsidP="00636BD8">
            <w:pPr>
              <w:rPr>
                <w:color w:val="000000" w:themeColor="text1"/>
              </w:rPr>
            </w:pPr>
            <w:r w:rsidRPr="00661241">
              <w:rPr>
                <w:color w:val="000000" w:themeColor="text1"/>
              </w:rPr>
              <w:t>(0.042)</w:t>
            </w:r>
          </w:p>
        </w:tc>
        <w:tc>
          <w:tcPr>
            <w:tcW w:w="733" w:type="pct"/>
            <w:tcBorders>
              <w:top w:val="nil"/>
              <w:left w:val="nil"/>
              <w:bottom w:val="single" w:sz="4" w:space="0" w:color="auto"/>
              <w:right w:val="nil"/>
            </w:tcBorders>
            <w:vAlign w:val="center"/>
          </w:tcPr>
          <w:p w14:paraId="55E571F3" w14:textId="77777777" w:rsidR="00636BD8" w:rsidRPr="00661241" w:rsidRDefault="00636BD8" w:rsidP="00636BD8">
            <w:pPr>
              <w:ind w:right="-96"/>
              <w:rPr>
                <w:color w:val="000000" w:themeColor="text1"/>
              </w:rPr>
            </w:pPr>
            <w:r>
              <w:rPr>
                <w:color w:val="000000" w:themeColor="text1"/>
              </w:rPr>
              <w:t>0.202***</w:t>
            </w:r>
          </w:p>
        </w:tc>
        <w:tc>
          <w:tcPr>
            <w:tcW w:w="637" w:type="pct"/>
            <w:gridSpan w:val="3"/>
            <w:tcBorders>
              <w:top w:val="nil"/>
              <w:left w:val="nil"/>
              <w:bottom w:val="single" w:sz="4" w:space="0" w:color="auto"/>
              <w:right w:val="nil"/>
            </w:tcBorders>
            <w:vAlign w:val="center"/>
          </w:tcPr>
          <w:p w14:paraId="5E514FC4" w14:textId="77777777" w:rsidR="00636BD8" w:rsidRPr="00661241" w:rsidRDefault="00636BD8" w:rsidP="00636BD8">
            <w:pPr>
              <w:rPr>
                <w:color w:val="000000" w:themeColor="text1"/>
              </w:rPr>
            </w:pPr>
            <w:r>
              <w:rPr>
                <w:color w:val="000000" w:themeColor="text1"/>
              </w:rPr>
              <w:t>(0.049)</w:t>
            </w:r>
          </w:p>
        </w:tc>
        <w:tc>
          <w:tcPr>
            <w:tcW w:w="733" w:type="pct"/>
            <w:gridSpan w:val="2"/>
            <w:tcBorders>
              <w:top w:val="nil"/>
              <w:left w:val="nil"/>
              <w:bottom w:val="single" w:sz="4" w:space="0" w:color="auto"/>
              <w:right w:val="nil"/>
            </w:tcBorders>
            <w:vAlign w:val="center"/>
          </w:tcPr>
          <w:p w14:paraId="706DFFE5" w14:textId="77777777" w:rsidR="00636BD8" w:rsidRPr="00661241" w:rsidRDefault="00636BD8" w:rsidP="00636BD8">
            <w:pPr>
              <w:ind w:right="-132"/>
              <w:rPr>
                <w:color w:val="000000" w:themeColor="text1"/>
              </w:rPr>
            </w:pPr>
            <w:r w:rsidRPr="00661241">
              <w:rPr>
                <w:color w:val="000000" w:themeColor="text1"/>
              </w:rPr>
              <w:t>0.1</w:t>
            </w:r>
            <w:r>
              <w:rPr>
                <w:color w:val="000000" w:themeColor="text1"/>
              </w:rPr>
              <w:t>60*</w:t>
            </w:r>
            <w:r w:rsidRPr="00661241">
              <w:rPr>
                <w:color w:val="000000" w:themeColor="text1"/>
              </w:rPr>
              <w:t>**</w:t>
            </w:r>
          </w:p>
        </w:tc>
        <w:tc>
          <w:tcPr>
            <w:tcW w:w="637" w:type="pct"/>
            <w:gridSpan w:val="3"/>
            <w:tcBorders>
              <w:top w:val="nil"/>
              <w:left w:val="nil"/>
              <w:bottom w:val="single" w:sz="4" w:space="0" w:color="auto"/>
              <w:right w:val="nil"/>
            </w:tcBorders>
            <w:vAlign w:val="center"/>
          </w:tcPr>
          <w:p w14:paraId="46FEF166" w14:textId="77777777" w:rsidR="00636BD8" w:rsidRPr="00661241" w:rsidRDefault="00636BD8" w:rsidP="00636BD8">
            <w:pPr>
              <w:rPr>
                <w:color w:val="000000" w:themeColor="text1"/>
              </w:rPr>
            </w:pPr>
            <w:r w:rsidRPr="00661241">
              <w:rPr>
                <w:color w:val="000000" w:themeColor="text1"/>
              </w:rPr>
              <w:t>(0.04</w:t>
            </w:r>
            <w:r>
              <w:rPr>
                <w:color w:val="000000" w:themeColor="text1"/>
              </w:rPr>
              <w:t>7</w:t>
            </w:r>
            <w:r w:rsidRPr="00661241">
              <w:rPr>
                <w:color w:val="000000" w:themeColor="text1"/>
              </w:rPr>
              <w:t>)</w:t>
            </w:r>
          </w:p>
        </w:tc>
      </w:tr>
      <w:tr w:rsidR="00636BD8" w:rsidRPr="00661241" w14:paraId="42EC32D6" w14:textId="77777777" w:rsidTr="00C83D17">
        <w:trPr>
          <w:gridAfter w:val="2"/>
          <w:wAfter w:w="497" w:type="pct"/>
          <w:cantSplit/>
          <w:jc w:val="center"/>
        </w:trPr>
        <w:tc>
          <w:tcPr>
            <w:tcW w:w="736" w:type="pct"/>
            <w:tcBorders>
              <w:top w:val="single" w:sz="4" w:space="0" w:color="auto"/>
              <w:left w:val="nil"/>
              <w:bottom w:val="nil"/>
              <w:right w:val="nil"/>
            </w:tcBorders>
            <w:vAlign w:val="center"/>
          </w:tcPr>
          <w:p w14:paraId="63CE556B" w14:textId="77777777" w:rsidR="00636BD8" w:rsidRPr="00661241" w:rsidRDefault="00636BD8" w:rsidP="00636BD8">
            <w:pPr>
              <w:rPr>
                <w:rFonts w:eastAsia="Times New Roman"/>
              </w:rPr>
            </w:pPr>
            <w:r w:rsidRPr="00661241">
              <w:rPr>
                <w:rFonts w:eastAsia="Times New Roman"/>
              </w:rPr>
              <w:t>Observations</w:t>
            </w:r>
          </w:p>
        </w:tc>
        <w:tc>
          <w:tcPr>
            <w:tcW w:w="1190" w:type="pct"/>
            <w:gridSpan w:val="2"/>
            <w:tcBorders>
              <w:top w:val="single" w:sz="4" w:space="0" w:color="auto"/>
              <w:left w:val="nil"/>
              <w:bottom w:val="nil"/>
              <w:right w:val="nil"/>
            </w:tcBorders>
          </w:tcPr>
          <w:p w14:paraId="7DAFCB59" w14:textId="77777777" w:rsidR="00636BD8" w:rsidRPr="00661241" w:rsidRDefault="00636BD8" w:rsidP="00636BD8">
            <w:pPr>
              <w:jc w:val="center"/>
            </w:pPr>
            <w:r w:rsidRPr="00661241">
              <w:t>36</w:t>
            </w:r>
            <w:r>
              <w:t>6</w:t>
            </w:r>
          </w:p>
        </w:tc>
        <w:tc>
          <w:tcPr>
            <w:tcW w:w="1463" w:type="pct"/>
            <w:gridSpan w:val="4"/>
            <w:tcBorders>
              <w:top w:val="single" w:sz="4" w:space="0" w:color="auto"/>
              <w:left w:val="nil"/>
              <w:bottom w:val="nil"/>
              <w:right w:val="nil"/>
            </w:tcBorders>
          </w:tcPr>
          <w:p w14:paraId="5C192199" w14:textId="77777777" w:rsidR="00636BD8" w:rsidRPr="00661241" w:rsidRDefault="00636BD8" w:rsidP="00636BD8">
            <w:pPr>
              <w:jc w:val="center"/>
              <w:rPr>
                <w:color w:val="000000" w:themeColor="text1"/>
              </w:rPr>
            </w:pPr>
            <w:r>
              <w:rPr>
                <w:color w:val="000000" w:themeColor="text1"/>
              </w:rPr>
              <w:t>261</w:t>
            </w:r>
          </w:p>
        </w:tc>
        <w:tc>
          <w:tcPr>
            <w:tcW w:w="1114" w:type="pct"/>
            <w:gridSpan w:val="5"/>
            <w:tcBorders>
              <w:top w:val="single" w:sz="4" w:space="0" w:color="auto"/>
              <w:left w:val="nil"/>
              <w:bottom w:val="nil"/>
              <w:right w:val="nil"/>
            </w:tcBorders>
          </w:tcPr>
          <w:p w14:paraId="4B2AC59F" w14:textId="77777777" w:rsidR="00636BD8" w:rsidRPr="00661241" w:rsidRDefault="00636BD8" w:rsidP="00636BD8">
            <w:pPr>
              <w:jc w:val="center"/>
              <w:rPr>
                <w:color w:val="000000" w:themeColor="text1"/>
              </w:rPr>
            </w:pPr>
            <w:r w:rsidRPr="00661241">
              <w:rPr>
                <w:color w:val="000000" w:themeColor="text1"/>
              </w:rPr>
              <w:t>2</w:t>
            </w:r>
            <w:r>
              <w:rPr>
                <w:color w:val="000000" w:themeColor="text1"/>
              </w:rPr>
              <w:t>67</w:t>
            </w:r>
          </w:p>
        </w:tc>
      </w:tr>
      <w:tr w:rsidR="00636BD8" w:rsidRPr="00661241" w14:paraId="0FFFF945" w14:textId="77777777" w:rsidTr="00C83D17">
        <w:trPr>
          <w:gridAfter w:val="2"/>
          <w:wAfter w:w="497" w:type="pct"/>
          <w:cantSplit/>
          <w:jc w:val="center"/>
        </w:trPr>
        <w:tc>
          <w:tcPr>
            <w:tcW w:w="736" w:type="pct"/>
            <w:tcBorders>
              <w:top w:val="nil"/>
              <w:left w:val="nil"/>
              <w:bottom w:val="nil"/>
              <w:right w:val="nil"/>
            </w:tcBorders>
            <w:vAlign w:val="center"/>
          </w:tcPr>
          <w:p w14:paraId="7A671FEB" w14:textId="77777777" w:rsidR="00636BD8" w:rsidRPr="00661241" w:rsidRDefault="00636BD8" w:rsidP="00636BD8">
            <w:pPr>
              <w:rPr>
                <w:rFonts w:eastAsia="Times New Roman"/>
              </w:rPr>
            </w:pPr>
            <w:r w:rsidRPr="00661241">
              <w:rPr>
                <w:rFonts w:eastAsia="Times New Roman"/>
              </w:rPr>
              <w:t>Adjusted R</w:t>
            </w:r>
            <w:r w:rsidRPr="00661241">
              <w:rPr>
                <w:rFonts w:eastAsia="Times New Roman"/>
                <w:vertAlign w:val="superscript"/>
              </w:rPr>
              <w:t>2</w:t>
            </w:r>
          </w:p>
        </w:tc>
        <w:tc>
          <w:tcPr>
            <w:tcW w:w="1190" w:type="pct"/>
            <w:gridSpan w:val="2"/>
            <w:tcBorders>
              <w:top w:val="nil"/>
              <w:left w:val="nil"/>
              <w:bottom w:val="nil"/>
              <w:right w:val="nil"/>
            </w:tcBorders>
          </w:tcPr>
          <w:p w14:paraId="614074F4" w14:textId="77777777" w:rsidR="00636BD8" w:rsidRPr="00661241" w:rsidRDefault="00636BD8" w:rsidP="00636BD8">
            <w:pPr>
              <w:jc w:val="center"/>
            </w:pPr>
            <w:r w:rsidRPr="00661241">
              <w:t>0.3</w:t>
            </w:r>
            <w:r>
              <w:t>22</w:t>
            </w:r>
          </w:p>
        </w:tc>
        <w:tc>
          <w:tcPr>
            <w:tcW w:w="1463" w:type="pct"/>
            <w:gridSpan w:val="4"/>
            <w:tcBorders>
              <w:top w:val="nil"/>
              <w:left w:val="nil"/>
              <w:bottom w:val="nil"/>
              <w:right w:val="nil"/>
            </w:tcBorders>
          </w:tcPr>
          <w:p w14:paraId="00D394C7" w14:textId="77777777" w:rsidR="00636BD8" w:rsidRPr="00661241" w:rsidRDefault="00636BD8" w:rsidP="00636BD8">
            <w:pPr>
              <w:jc w:val="center"/>
              <w:rPr>
                <w:color w:val="000000" w:themeColor="text1"/>
              </w:rPr>
            </w:pPr>
            <w:r>
              <w:rPr>
                <w:color w:val="000000" w:themeColor="text1"/>
              </w:rPr>
              <w:t>0.408</w:t>
            </w:r>
          </w:p>
        </w:tc>
        <w:tc>
          <w:tcPr>
            <w:tcW w:w="1114" w:type="pct"/>
            <w:gridSpan w:val="5"/>
            <w:tcBorders>
              <w:top w:val="nil"/>
              <w:left w:val="nil"/>
              <w:bottom w:val="nil"/>
              <w:right w:val="nil"/>
            </w:tcBorders>
          </w:tcPr>
          <w:p w14:paraId="4FFF4B7E" w14:textId="77777777" w:rsidR="00636BD8" w:rsidRPr="00661241" w:rsidRDefault="00636BD8" w:rsidP="00636BD8">
            <w:pPr>
              <w:jc w:val="center"/>
              <w:rPr>
                <w:color w:val="000000" w:themeColor="text1"/>
              </w:rPr>
            </w:pPr>
            <w:r w:rsidRPr="00661241">
              <w:rPr>
                <w:color w:val="000000" w:themeColor="text1"/>
              </w:rPr>
              <w:t>0.4</w:t>
            </w:r>
            <w:r>
              <w:rPr>
                <w:color w:val="000000" w:themeColor="text1"/>
              </w:rPr>
              <w:t>45</w:t>
            </w:r>
          </w:p>
        </w:tc>
      </w:tr>
      <w:tr w:rsidR="00636BD8" w:rsidRPr="00661241" w14:paraId="3C08477E" w14:textId="77777777" w:rsidTr="00C83D17">
        <w:trPr>
          <w:gridAfter w:val="2"/>
          <w:wAfter w:w="497" w:type="pct"/>
          <w:cantSplit/>
          <w:jc w:val="center"/>
        </w:trPr>
        <w:tc>
          <w:tcPr>
            <w:tcW w:w="736" w:type="pct"/>
            <w:tcBorders>
              <w:top w:val="nil"/>
              <w:left w:val="nil"/>
              <w:bottom w:val="nil"/>
              <w:right w:val="nil"/>
            </w:tcBorders>
            <w:vAlign w:val="center"/>
          </w:tcPr>
          <w:p w14:paraId="6A0A787F" w14:textId="77777777" w:rsidR="00636BD8" w:rsidRPr="00661241" w:rsidRDefault="00636BD8" w:rsidP="00636BD8">
            <w:pPr>
              <w:rPr>
                <w:rFonts w:eastAsia="Times New Roman"/>
              </w:rPr>
            </w:pPr>
            <w:r w:rsidRPr="00661241">
              <w:rPr>
                <w:rFonts w:eastAsia="Times New Roman"/>
              </w:rPr>
              <w:t>AIC</w:t>
            </w:r>
          </w:p>
        </w:tc>
        <w:tc>
          <w:tcPr>
            <w:tcW w:w="1190" w:type="pct"/>
            <w:gridSpan w:val="2"/>
            <w:tcBorders>
              <w:top w:val="nil"/>
              <w:left w:val="nil"/>
              <w:bottom w:val="nil"/>
              <w:right w:val="nil"/>
            </w:tcBorders>
          </w:tcPr>
          <w:p w14:paraId="2EBD9553" w14:textId="77777777" w:rsidR="00636BD8" w:rsidRPr="00661241" w:rsidRDefault="00636BD8" w:rsidP="00636BD8">
            <w:pPr>
              <w:jc w:val="center"/>
            </w:pPr>
            <w:r w:rsidRPr="00661241">
              <w:t>-15</w:t>
            </w:r>
            <w:r>
              <w:t>7.1</w:t>
            </w:r>
          </w:p>
        </w:tc>
        <w:tc>
          <w:tcPr>
            <w:tcW w:w="1463" w:type="pct"/>
            <w:gridSpan w:val="4"/>
            <w:tcBorders>
              <w:top w:val="nil"/>
              <w:left w:val="nil"/>
              <w:bottom w:val="nil"/>
              <w:right w:val="nil"/>
            </w:tcBorders>
          </w:tcPr>
          <w:p w14:paraId="3A166E4A" w14:textId="77777777" w:rsidR="00636BD8" w:rsidRPr="00661241" w:rsidRDefault="00636BD8" w:rsidP="00636BD8">
            <w:pPr>
              <w:jc w:val="center"/>
              <w:rPr>
                <w:color w:val="000000" w:themeColor="text1"/>
              </w:rPr>
            </w:pPr>
            <w:r>
              <w:rPr>
                <w:color w:val="000000" w:themeColor="text1"/>
              </w:rPr>
              <w:t>-175.5</w:t>
            </w:r>
          </w:p>
        </w:tc>
        <w:tc>
          <w:tcPr>
            <w:tcW w:w="1114" w:type="pct"/>
            <w:gridSpan w:val="5"/>
            <w:tcBorders>
              <w:top w:val="nil"/>
              <w:left w:val="nil"/>
              <w:bottom w:val="nil"/>
              <w:right w:val="nil"/>
            </w:tcBorders>
          </w:tcPr>
          <w:p w14:paraId="0991DE42" w14:textId="77777777" w:rsidR="00636BD8" w:rsidRPr="00661241" w:rsidRDefault="00636BD8" w:rsidP="00636BD8">
            <w:pPr>
              <w:jc w:val="center"/>
              <w:rPr>
                <w:color w:val="000000" w:themeColor="text1"/>
              </w:rPr>
            </w:pPr>
            <w:r w:rsidRPr="00661241">
              <w:rPr>
                <w:color w:val="000000" w:themeColor="text1"/>
              </w:rPr>
              <w:t>-1</w:t>
            </w:r>
            <w:r>
              <w:rPr>
                <w:color w:val="000000" w:themeColor="text1"/>
              </w:rPr>
              <w:t>17.7</w:t>
            </w:r>
          </w:p>
        </w:tc>
      </w:tr>
      <w:tr w:rsidR="00636BD8" w:rsidRPr="00661241" w14:paraId="1C7D0EDC" w14:textId="77777777" w:rsidTr="00C83D17">
        <w:trPr>
          <w:gridAfter w:val="2"/>
          <w:wAfter w:w="497" w:type="pct"/>
          <w:cantSplit/>
          <w:jc w:val="center"/>
        </w:trPr>
        <w:tc>
          <w:tcPr>
            <w:tcW w:w="736" w:type="pct"/>
            <w:tcBorders>
              <w:top w:val="nil"/>
              <w:left w:val="nil"/>
              <w:bottom w:val="single" w:sz="4" w:space="0" w:color="auto"/>
              <w:right w:val="nil"/>
            </w:tcBorders>
            <w:vAlign w:val="center"/>
          </w:tcPr>
          <w:p w14:paraId="24AB8B7C" w14:textId="77777777" w:rsidR="00636BD8" w:rsidRPr="00661241" w:rsidRDefault="00636BD8" w:rsidP="00636BD8">
            <w:pPr>
              <w:rPr>
                <w:rFonts w:eastAsia="Times New Roman"/>
              </w:rPr>
            </w:pPr>
            <w:r w:rsidRPr="00661241">
              <w:rPr>
                <w:rFonts w:eastAsia="Times New Roman"/>
              </w:rPr>
              <w:t>BIC</w:t>
            </w:r>
          </w:p>
        </w:tc>
        <w:tc>
          <w:tcPr>
            <w:tcW w:w="1190" w:type="pct"/>
            <w:gridSpan w:val="2"/>
            <w:tcBorders>
              <w:top w:val="nil"/>
              <w:left w:val="nil"/>
              <w:bottom w:val="single" w:sz="4" w:space="0" w:color="auto"/>
              <w:right w:val="nil"/>
            </w:tcBorders>
          </w:tcPr>
          <w:p w14:paraId="6412DE4D" w14:textId="77777777" w:rsidR="00636BD8" w:rsidRPr="00661241" w:rsidRDefault="00636BD8" w:rsidP="00636BD8">
            <w:pPr>
              <w:jc w:val="center"/>
            </w:pPr>
            <w:r w:rsidRPr="00661241">
              <w:t>-11</w:t>
            </w:r>
            <w:r>
              <w:t>8.0</w:t>
            </w:r>
          </w:p>
        </w:tc>
        <w:tc>
          <w:tcPr>
            <w:tcW w:w="1463" w:type="pct"/>
            <w:gridSpan w:val="4"/>
            <w:tcBorders>
              <w:top w:val="nil"/>
              <w:left w:val="nil"/>
              <w:bottom w:val="single" w:sz="4" w:space="0" w:color="auto"/>
              <w:right w:val="nil"/>
            </w:tcBorders>
          </w:tcPr>
          <w:p w14:paraId="42E70A09" w14:textId="77777777" w:rsidR="00636BD8" w:rsidRPr="00661241" w:rsidRDefault="00636BD8" w:rsidP="00636BD8">
            <w:pPr>
              <w:jc w:val="center"/>
              <w:rPr>
                <w:color w:val="000000" w:themeColor="text1"/>
              </w:rPr>
            </w:pPr>
            <w:r>
              <w:rPr>
                <w:color w:val="000000" w:themeColor="text1"/>
              </w:rPr>
              <w:t>-139.9</w:t>
            </w:r>
          </w:p>
        </w:tc>
        <w:tc>
          <w:tcPr>
            <w:tcW w:w="1114" w:type="pct"/>
            <w:gridSpan w:val="5"/>
            <w:tcBorders>
              <w:top w:val="nil"/>
              <w:left w:val="nil"/>
              <w:bottom w:val="single" w:sz="4" w:space="0" w:color="auto"/>
              <w:right w:val="nil"/>
            </w:tcBorders>
          </w:tcPr>
          <w:p w14:paraId="3478E1D9" w14:textId="77777777" w:rsidR="00636BD8" w:rsidRPr="00661241" w:rsidRDefault="00636BD8" w:rsidP="00636BD8">
            <w:pPr>
              <w:jc w:val="center"/>
              <w:rPr>
                <w:color w:val="000000" w:themeColor="text1"/>
              </w:rPr>
            </w:pPr>
            <w:r w:rsidRPr="00661241">
              <w:rPr>
                <w:color w:val="000000" w:themeColor="text1"/>
              </w:rPr>
              <w:t>-</w:t>
            </w:r>
            <w:r>
              <w:rPr>
                <w:color w:val="000000" w:themeColor="text1"/>
              </w:rPr>
              <w:t>78.26</w:t>
            </w:r>
          </w:p>
        </w:tc>
      </w:tr>
      <w:tr w:rsidR="00636BD8" w:rsidRPr="00661241" w14:paraId="36AA3E06" w14:textId="77777777" w:rsidTr="00C83D17">
        <w:trPr>
          <w:gridAfter w:val="3"/>
          <w:wAfter w:w="519" w:type="pct"/>
          <w:cantSplit/>
          <w:jc w:val="center"/>
        </w:trPr>
        <w:tc>
          <w:tcPr>
            <w:tcW w:w="3361" w:type="pct"/>
            <w:gridSpan w:val="6"/>
            <w:tcBorders>
              <w:top w:val="single" w:sz="4" w:space="0" w:color="auto"/>
              <w:left w:val="nil"/>
              <w:bottom w:val="nil"/>
              <w:right w:val="nil"/>
            </w:tcBorders>
            <w:vAlign w:val="center"/>
          </w:tcPr>
          <w:p w14:paraId="04AFDD46" w14:textId="77777777" w:rsidR="00636BD8" w:rsidRPr="00661241" w:rsidRDefault="00636BD8" w:rsidP="00636BD8">
            <w:pPr>
              <w:rPr>
                <w:rFonts w:eastAsia="Times New Roman"/>
              </w:rPr>
            </w:pPr>
            <w:r w:rsidRPr="00661241">
              <w:rPr>
                <w:rFonts w:eastAsia="Times New Roman"/>
              </w:rPr>
              <w:t>Robust standard errors reported in parentheses.</w:t>
            </w:r>
          </w:p>
        </w:tc>
        <w:tc>
          <w:tcPr>
            <w:tcW w:w="708" w:type="pct"/>
            <w:gridSpan w:val="3"/>
            <w:tcBorders>
              <w:top w:val="single" w:sz="4" w:space="0" w:color="auto"/>
              <w:left w:val="nil"/>
              <w:bottom w:val="nil"/>
              <w:right w:val="nil"/>
            </w:tcBorders>
          </w:tcPr>
          <w:p w14:paraId="69C8879D" w14:textId="77777777" w:rsidR="00636BD8" w:rsidRPr="00661241" w:rsidRDefault="00636BD8" w:rsidP="00636BD8">
            <w:pPr>
              <w:rPr>
                <w:rFonts w:eastAsia="Times New Roman"/>
              </w:rPr>
            </w:pPr>
          </w:p>
        </w:tc>
        <w:tc>
          <w:tcPr>
            <w:tcW w:w="413" w:type="pct"/>
            <w:gridSpan w:val="2"/>
            <w:tcBorders>
              <w:top w:val="single" w:sz="4" w:space="0" w:color="auto"/>
              <w:left w:val="nil"/>
              <w:bottom w:val="nil"/>
              <w:right w:val="nil"/>
            </w:tcBorders>
          </w:tcPr>
          <w:p w14:paraId="4D079349" w14:textId="77777777" w:rsidR="00636BD8" w:rsidRPr="00661241" w:rsidRDefault="00636BD8" w:rsidP="00636BD8">
            <w:pPr>
              <w:rPr>
                <w:rFonts w:eastAsia="Times New Roman"/>
              </w:rPr>
            </w:pPr>
          </w:p>
        </w:tc>
      </w:tr>
      <w:tr w:rsidR="00636BD8" w:rsidRPr="00661241" w14:paraId="14D0CC2C" w14:textId="77777777" w:rsidTr="00C83D17">
        <w:trPr>
          <w:gridAfter w:val="3"/>
          <w:wAfter w:w="519" w:type="pct"/>
          <w:cantSplit/>
          <w:jc w:val="center"/>
        </w:trPr>
        <w:tc>
          <w:tcPr>
            <w:tcW w:w="3361" w:type="pct"/>
            <w:gridSpan w:val="6"/>
            <w:tcBorders>
              <w:top w:val="nil"/>
              <w:left w:val="nil"/>
              <w:bottom w:val="single" w:sz="4" w:space="0" w:color="auto"/>
              <w:right w:val="nil"/>
            </w:tcBorders>
            <w:vAlign w:val="center"/>
          </w:tcPr>
          <w:p w14:paraId="3C1A323D" w14:textId="77777777" w:rsidR="00636BD8" w:rsidRPr="00661241" w:rsidRDefault="00636BD8" w:rsidP="00636BD8">
            <w:pPr>
              <w:rPr>
                <w:rFonts w:eastAsia="Times New Roman"/>
              </w:rPr>
            </w:pPr>
            <w:r w:rsidRPr="00661241">
              <w:rPr>
                <w:rFonts w:eastAsia="Times New Roman"/>
              </w:rPr>
              <w:t>* p &lt; .05; ** p &lt; .01; *** p &lt; .001</w:t>
            </w:r>
          </w:p>
        </w:tc>
        <w:tc>
          <w:tcPr>
            <w:tcW w:w="708" w:type="pct"/>
            <w:gridSpan w:val="3"/>
            <w:tcBorders>
              <w:top w:val="nil"/>
              <w:left w:val="nil"/>
              <w:bottom w:val="single" w:sz="4" w:space="0" w:color="auto"/>
              <w:right w:val="nil"/>
            </w:tcBorders>
          </w:tcPr>
          <w:p w14:paraId="540621A1" w14:textId="77777777" w:rsidR="00636BD8" w:rsidRPr="00661241" w:rsidRDefault="00636BD8" w:rsidP="00636BD8">
            <w:pPr>
              <w:rPr>
                <w:rFonts w:cs="Times"/>
              </w:rPr>
            </w:pPr>
          </w:p>
        </w:tc>
        <w:tc>
          <w:tcPr>
            <w:tcW w:w="413" w:type="pct"/>
            <w:gridSpan w:val="2"/>
            <w:tcBorders>
              <w:top w:val="nil"/>
              <w:left w:val="nil"/>
              <w:bottom w:val="single" w:sz="4" w:space="0" w:color="auto"/>
              <w:right w:val="nil"/>
            </w:tcBorders>
          </w:tcPr>
          <w:p w14:paraId="0A4504AB" w14:textId="77777777" w:rsidR="00636BD8" w:rsidRPr="00661241" w:rsidRDefault="00636BD8" w:rsidP="00636BD8">
            <w:pPr>
              <w:rPr>
                <w:rFonts w:cs="Times"/>
              </w:rPr>
            </w:pPr>
          </w:p>
        </w:tc>
      </w:tr>
    </w:tbl>
    <w:p w14:paraId="7F079C92" w14:textId="77777777" w:rsidR="00C83D17" w:rsidRDefault="00A32B89" w:rsidP="00EA7633">
      <w:pPr>
        <w:spacing w:line="480" w:lineRule="auto"/>
        <w:ind w:right="-360"/>
        <w:rPr>
          <w:rFonts w:ascii="Times New Roman" w:hAnsi="Times New Roman" w:cs="Times New Roman"/>
          <w:sz w:val="24"/>
          <w:szCs w:val="24"/>
        </w:rPr>
      </w:pPr>
      <w:r>
        <w:rPr>
          <w:rFonts w:ascii="Times New Roman" w:hAnsi="Times New Roman" w:cs="Times New Roman"/>
          <w:sz w:val="24"/>
          <w:szCs w:val="24"/>
        </w:rPr>
        <w:t xml:space="preserve"> </w:t>
      </w:r>
      <w:r w:rsidR="00FC1E84">
        <w:rPr>
          <w:rFonts w:ascii="Times New Roman" w:hAnsi="Times New Roman" w:cs="Times New Roman"/>
          <w:sz w:val="24"/>
          <w:szCs w:val="24"/>
        </w:rPr>
        <w:tab/>
      </w:r>
    </w:p>
    <w:p w14:paraId="3F6031F8" w14:textId="1E81A29F" w:rsidR="00FC1E84" w:rsidRDefault="00FC1E84" w:rsidP="00C83D17">
      <w:pPr>
        <w:spacing w:line="480" w:lineRule="auto"/>
        <w:ind w:right="-360" w:firstLine="720"/>
        <w:rPr>
          <w:rFonts w:ascii="Times New Roman" w:hAnsi="Times New Roman" w:cs="Times New Roman"/>
          <w:sz w:val="24"/>
          <w:szCs w:val="24"/>
        </w:rPr>
      </w:pPr>
      <w:r>
        <w:rPr>
          <w:rFonts w:ascii="Times New Roman" w:hAnsi="Times New Roman" w:cs="Times New Roman"/>
          <w:sz w:val="24"/>
          <w:szCs w:val="24"/>
        </w:rPr>
        <w:t>We draw a number of conclusions from Table 2. First, even in th</w:t>
      </w:r>
      <w:r w:rsidR="00E3006D">
        <w:rPr>
          <w:rFonts w:ascii="Times New Roman" w:hAnsi="Times New Roman" w:cs="Times New Roman"/>
          <w:sz w:val="24"/>
          <w:szCs w:val="24"/>
        </w:rPr>
        <w:t xml:space="preserve">is broader </w:t>
      </w:r>
      <w:r w:rsidR="009D0D77">
        <w:rPr>
          <w:rFonts w:ascii="Times New Roman" w:hAnsi="Times New Roman" w:cs="Times New Roman"/>
          <w:sz w:val="24"/>
          <w:szCs w:val="24"/>
        </w:rPr>
        <w:t>context</w:t>
      </w:r>
      <w:r>
        <w:rPr>
          <w:rFonts w:ascii="Times New Roman" w:hAnsi="Times New Roman" w:cs="Times New Roman"/>
          <w:sz w:val="24"/>
          <w:szCs w:val="24"/>
        </w:rPr>
        <w:t xml:space="preserve">, both </w:t>
      </w:r>
      <w:r w:rsidR="00E3006D">
        <w:rPr>
          <w:rFonts w:ascii="Times New Roman" w:hAnsi="Times New Roman" w:cs="Times New Roman"/>
          <w:sz w:val="24"/>
          <w:szCs w:val="24"/>
        </w:rPr>
        <w:t>intra-regional rivalries</w:t>
      </w:r>
      <w:r w:rsidR="0067742A">
        <w:rPr>
          <w:rFonts w:ascii="Times New Roman" w:hAnsi="Times New Roman" w:cs="Times New Roman"/>
          <w:sz w:val="24"/>
          <w:szCs w:val="24"/>
        </w:rPr>
        <w:t xml:space="preserve"> </w:t>
      </w:r>
      <w:r>
        <w:rPr>
          <w:rFonts w:ascii="Times New Roman" w:hAnsi="Times New Roman" w:cs="Times New Roman"/>
          <w:sz w:val="24"/>
          <w:szCs w:val="24"/>
        </w:rPr>
        <w:t xml:space="preserve">and the absence of hierarchy </w:t>
      </w:r>
      <w:r w:rsidR="0067742A">
        <w:rPr>
          <w:rFonts w:ascii="Times New Roman" w:hAnsi="Times New Roman" w:cs="Times New Roman"/>
          <w:sz w:val="24"/>
          <w:szCs w:val="24"/>
        </w:rPr>
        <w:t xml:space="preserve">appear to </w:t>
      </w:r>
      <w:r>
        <w:rPr>
          <w:rFonts w:ascii="Times New Roman" w:hAnsi="Times New Roman" w:cs="Times New Roman"/>
          <w:sz w:val="24"/>
          <w:szCs w:val="24"/>
        </w:rPr>
        <w:t>have pernicious effects on the amount of int</w:t>
      </w:r>
      <w:r w:rsidR="0067742A">
        <w:rPr>
          <w:rFonts w:ascii="Times New Roman" w:hAnsi="Times New Roman" w:cs="Times New Roman"/>
          <w:sz w:val="24"/>
          <w:szCs w:val="24"/>
        </w:rPr>
        <w:t>erstate c</w:t>
      </w:r>
      <w:r>
        <w:rPr>
          <w:rFonts w:ascii="Times New Roman" w:hAnsi="Times New Roman" w:cs="Times New Roman"/>
          <w:sz w:val="24"/>
          <w:szCs w:val="24"/>
        </w:rPr>
        <w:t xml:space="preserve">onflict regions experience. </w:t>
      </w:r>
      <w:r w:rsidR="0067742A">
        <w:rPr>
          <w:rFonts w:ascii="Times New Roman" w:hAnsi="Times New Roman" w:cs="Times New Roman"/>
          <w:sz w:val="24"/>
          <w:szCs w:val="24"/>
        </w:rPr>
        <w:t>Second, as important as the number of strategic rivalries are in accounting for levels of regional conflict, they are by no means the only major consideration, and at least three other factors—territorial claims, the presence of hierarchy, and alliances with major powers outside of the region—provide even stronger predictions to how much regional conflict occurs.</w:t>
      </w:r>
      <w:r w:rsidR="00EA5765">
        <w:rPr>
          <w:rFonts w:ascii="Times New Roman" w:hAnsi="Times New Roman" w:cs="Times New Roman"/>
          <w:sz w:val="24"/>
          <w:szCs w:val="24"/>
        </w:rPr>
        <w:t xml:space="preserve"> Third, the suggestion raised by </w:t>
      </w:r>
      <w:r w:rsidR="00790AB7">
        <w:rPr>
          <w:rFonts w:ascii="Times New Roman" w:hAnsi="Times New Roman" w:cs="Times New Roman"/>
          <w:sz w:val="24"/>
          <w:szCs w:val="24"/>
        </w:rPr>
        <w:t>Table 1</w:t>
      </w:r>
      <w:r w:rsidR="00EA5765">
        <w:rPr>
          <w:rFonts w:ascii="Times New Roman" w:hAnsi="Times New Roman" w:cs="Times New Roman"/>
          <w:sz w:val="24"/>
          <w:szCs w:val="24"/>
        </w:rPr>
        <w:t xml:space="preserve"> continues in Table 2: regions with dominant powers </w:t>
      </w:r>
      <w:r w:rsidR="00E445F2">
        <w:rPr>
          <w:rFonts w:ascii="Times New Roman" w:hAnsi="Times New Roman" w:cs="Times New Roman"/>
          <w:sz w:val="24"/>
          <w:szCs w:val="24"/>
        </w:rPr>
        <w:t xml:space="preserve">appear to be </w:t>
      </w:r>
      <w:r w:rsidR="00A86788">
        <w:rPr>
          <w:rFonts w:ascii="Times New Roman" w:hAnsi="Times New Roman" w:cs="Times New Roman"/>
          <w:sz w:val="24"/>
          <w:szCs w:val="24"/>
        </w:rPr>
        <w:t>a</w:t>
      </w:r>
      <w:r w:rsidR="00E445F2">
        <w:rPr>
          <w:rFonts w:ascii="Times New Roman" w:hAnsi="Times New Roman" w:cs="Times New Roman"/>
          <w:sz w:val="24"/>
          <w:szCs w:val="24"/>
        </w:rPr>
        <w:t xml:space="preserve">ffected </w:t>
      </w:r>
      <w:r w:rsidR="00EA5765">
        <w:rPr>
          <w:rFonts w:ascii="Times New Roman" w:hAnsi="Times New Roman" w:cs="Times New Roman"/>
          <w:sz w:val="24"/>
          <w:szCs w:val="24"/>
        </w:rPr>
        <w:t>less by rivalry than regions without.</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5E6578" w:rsidRPr="009A6FC6" w14:paraId="2A34AA41" w14:textId="77777777" w:rsidTr="00823E67">
        <w:trPr>
          <w:trHeight w:val="470"/>
          <w:jc w:val="center"/>
        </w:trPr>
        <w:tc>
          <w:tcPr>
            <w:tcW w:w="9360" w:type="dxa"/>
            <w:gridSpan w:val="2"/>
            <w:tcBorders>
              <w:bottom w:val="single" w:sz="4" w:space="0" w:color="auto"/>
            </w:tcBorders>
            <w:vAlign w:val="center"/>
          </w:tcPr>
          <w:p w14:paraId="5FCBD845" w14:textId="6289926E" w:rsidR="005E6578" w:rsidRPr="00F437D4" w:rsidRDefault="005E6578" w:rsidP="00823E67">
            <w:pPr>
              <w:rPr>
                <w:b/>
              </w:rPr>
            </w:pPr>
            <w:r>
              <w:rPr>
                <w:b/>
              </w:rPr>
              <w:t>Figure</w:t>
            </w:r>
            <w:r w:rsidRPr="00F437D4">
              <w:rPr>
                <w:b/>
              </w:rPr>
              <w:t xml:space="preserve"> </w:t>
            </w:r>
            <w:r w:rsidR="00CD5D7E">
              <w:rPr>
                <w:b/>
              </w:rPr>
              <w:t>2</w:t>
            </w:r>
            <w:r w:rsidRPr="00F437D4">
              <w:rPr>
                <w:b/>
              </w:rPr>
              <w:t>: Marginal Effect of Major Power Hierarchy and Rivalries on Severe MID Frequencies</w:t>
            </w:r>
          </w:p>
        </w:tc>
      </w:tr>
      <w:tr w:rsidR="005E6578" w:rsidRPr="009A6FC6" w14:paraId="6907681A" w14:textId="77777777" w:rsidTr="00823E67">
        <w:trPr>
          <w:jc w:val="center"/>
        </w:trPr>
        <w:tc>
          <w:tcPr>
            <w:tcW w:w="4680" w:type="dxa"/>
            <w:tcBorders>
              <w:top w:val="single" w:sz="4" w:space="0" w:color="auto"/>
            </w:tcBorders>
            <w:vAlign w:val="center"/>
          </w:tcPr>
          <w:p w14:paraId="41745BA0" w14:textId="77777777" w:rsidR="005E6578" w:rsidRPr="009A6FC6" w:rsidRDefault="005E6578" w:rsidP="00823E67">
            <w:pPr>
              <w:jc w:val="center"/>
            </w:pPr>
          </w:p>
          <w:p w14:paraId="27EBE510" w14:textId="77777777" w:rsidR="005E6578" w:rsidRPr="009A6FC6" w:rsidRDefault="005E6578" w:rsidP="00823E67">
            <w:pPr>
              <w:jc w:val="center"/>
            </w:pPr>
            <w:r w:rsidRPr="009A6FC6">
              <w:rPr>
                <w:noProof/>
              </w:rPr>
              <w:drawing>
                <wp:inline distT="0" distB="0" distL="0" distR="0" wp14:anchorId="2B8AEE97" wp14:editId="0BEFEC0D">
                  <wp:extent cx="25146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14600" cy="1828800"/>
                          </a:xfrm>
                          <a:prstGeom prst="rect">
                            <a:avLst/>
                          </a:prstGeom>
                        </pic:spPr>
                      </pic:pic>
                    </a:graphicData>
                  </a:graphic>
                </wp:inline>
              </w:drawing>
            </w:r>
          </w:p>
        </w:tc>
        <w:tc>
          <w:tcPr>
            <w:tcW w:w="4680" w:type="dxa"/>
            <w:tcBorders>
              <w:top w:val="single" w:sz="4" w:space="0" w:color="auto"/>
            </w:tcBorders>
            <w:vAlign w:val="center"/>
          </w:tcPr>
          <w:p w14:paraId="1FBF6BC9" w14:textId="77777777" w:rsidR="005E6578" w:rsidRPr="009A6FC6" w:rsidRDefault="005E6578" w:rsidP="00823E67">
            <w:pPr>
              <w:jc w:val="center"/>
            </w:pPr>
          </w:p>
          <w:p w14:paraId="0D96B0C0" w14:textId="77777777" w:rsidR="005E6578" w:rsidRPr="009A6FC6" w:rsidRDefault="005E6578" w:rsidP="00823E67">
            <w:pPr>
              <w:jc w:val="center"/>
            </w:pPr>
            <w:r w:rsidRPr="009A6FC6">
              <w:rPr>
                <w:noProof/>
              </w:rPr>
              <w:drawing>
                <wp:inline distT="0" distB="0" distL="0" distR="0" wp14:anchorId="0E3F765C" wp14:editId="33AC4D69">
                  <wp:extent cx="2514600" cy="18288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514600" cy="1828800"/>
                          </a:xfrm>
                          <a:prstGeom prst="rect">
                            <a:avLst/>
                          </a:prstGeom>
                          <a:noFill/>
                          <a:ln>
                            <a:noFill/>
                          </a:ln>
                        </pic:spPr>
                      </pic:pic>
                    </a:graphicData>
                  </a:graphic>
                </wp:inline>
              </w:drawing>
            </w:r>
          </w:p>
        </w:tc>
      </w:tr>
      <w:tr w:rsidR="005E6578" w:rsidRPr="009A6FC6" w14:paraId="6EDCE6B0" w14:textId="77777777" w:rsidTr="00823E67">
        <w:trPr>
          <w:trHeight w:val="216"/>
          <w:jc w:val="center"/>
        </w:trPr>
        <w:tc>
          <w:tcPr>
            <w:tcW w:w="4680" w:type="dxa"/>
            <w:tcBorders>
              <w:bottom w:val="single" w:sz="4" w:space="0" w:color="auto"/>
            </w:tcBorders>
            <w:vAlign w:val="center"/>
          </w:tcPr>
          <w:p w14:paraId="5C3189AE" w14:textId="77777777" w:rsidR="005E6578" w:rsidRPr="009A6FC6" w:rsidRDefault="005E6578" w:rsidP="00823E67">
            <w:pPr>
              <w:jc w:val="center"/>
            </w:pPr>
          </w:p>
        </w:tc>
        <w:tc>
          <w:tcPr>
            <w:tcW w:w="4680" w:type="dxa"/>
            <w:tcBorders>
              <w:bottom w:val="single" w:sz="4" w:space="0" w:color="auto"/>
            </w:tcBorders>
            <w:vAlign w:val="center"/>
          </w:tcPr>
          <w:p w14:paraId="737BC90D" w14:textId="77777777" w:rsidR="005E6578" w:rsidRPr="009A6FC6" w:rsidRDefault="005E6578" w:rsidP="00823E67">
            <w:pPr>
              <w:jc w:val="center"/>
            </w:pPr>
          </w:p>
        </w:tc>
      </w:tr>
    </w:tbl>
    <w:p w14:paraId="53082DC3" w14:textId="77777777" w:rsidR="005E6578" w:rsidRDefault="005E6578" w:rsidP="00CD5D7E">
      <w:pPr>
        <w:rPr>
          <w:rFonts w:ascii="Times New Roman" w:hAnsi="Times New Roman" w:cs="Times New Roman"/>
          <w:sz w:val="24"/>
          <w:szCs w:val="24"/>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5E6578" w:rsidRPr="009A6FC6" w14:paraId="0EB7D6BA" w14:textId="77777777" w:rsidTr="00CD5D7E">
        <w:trPr>
          <w:trHeight w:val="470"/>
          <w:jc w:val="center"/>
        </w:trPr>
        <w:tc>
          <w:tcPr>
            <w:tcW w:w="9360" w:type="dxa"/>
            <w:gridSpan w:val="2"/>
            <w:tcBorders>
              <w:bottom w:val="single" w:sz="4" w:space="0" w:color="auto"/>
            </w:tcBorders>
            <w:vAlign w:val="center"/>
          </w:tcPr>
          <w:p w14:paraId="3E4596D2" w14:textId="14D0F6FB" w:rsidR="005E6578" w:rsidRPr="009A6FC6" w:rsidRDefault="005E6578" w:rsidP="00CD5D7E">
            <w:r>
              <w:rPr>
                <w:b/>
              </w:rPr>
              <w:t>Figure</w:t>
            </w:r>
            <w:r w:rsidRPr="00F437D4">
              <w:rPr>
                <w:b/>
              </w:rPr>
              <w:t xml:space="preserve"> </w:t>
            </w:r>
            <w:r w:rsidR="00CD5D7E">
              <w:rPr>
                <w:b/>
              </w:rPr>
              <w:t>3</w:t>
            </w:r>
            <w:r w:rsidRPr="00F437D4">
              <w:rPr>
                <w:b/>
              </w:rPr>
              <w:t xml:space="preserve">: Marginal Effect of </w:t>
            </w:r>
            <w:r>
              <w:rPr>
                <w:b/>
              </w:rPr>
              <w:t>Regional</w:t>
            </w:r>
            <w:r w:rsidRPr="00F437D4">
              <w:rPr>
                <w:b/>
              </w:rPr>
              <w:t xml:space="preserve"> Power Hierarchy and Rivalries on Severe MID Frequencies</w:t>
            </w:r>
          </w:p>
        </w:tc>
      </w:tr>
      <w:tr w:rsidR="005E6578" w:rsidRPr="009A6FC6" w14:paraId="34F4DF66" w14:textId="77777777" w:rsidTr="00823E67">
        <w:trPr>
          <w:jc w:val="center"/>
        </w:trPr>
        <w:tc>
          <w:tcPr>
            <w:tcW w:w="4680" w:type="dxa"/>
            <w:tcBorders>
              <w:top w:val="single" w:sz="4" w:space="0" w:color="auto"/>
            </w:tcBorders>
            <w:vAlign w:val="center"/>
          </w:tcPr>
          <w:p w14:paraId="3DB54848" w14:textId="77777777" w:rsidR="005E6578" w:rsidRPr="009A6FC6" w:rsidRDefault="005E6578" w:rsidP="00823E67">
            <w:pPr>
              <w:jc w:val="center"/>
            </w:pPr>
          </w:p>
          <w:p w14:paraId="6EA2BA29" w14:textId="77777777" w:rsidR="005E6578" w:rsidRPr="009A6FC6" w:rsidRDefault="005E6578" w:rsidP="00823E67">
            <w:pPr>
              <w:jc w:val="center"/>
            </w:pPr>
            <w:r w:rsidRPr="009A6FC6">
              <w:rPr>
                <w:noProof/>
              </w:rPr>
              <w:drawing>
                <wp:inline distT="0" distB="0" distL="0" distR="0" wp14:anchorId="3ECCADFF" wp14:editId="4D3BD6D1">
                  <wp:extent cx="25146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14600" cy="1828800"/>
                          </a:xfrm>
                          <a:prstGeom prst="rect">
                            <a:avLst/>
                          </a:prstGeom>
                        </pic:spPr>
                      </pic:pic>
                    </a:graphicData>
                  </a:graphic>
                </wp:inline>
              </w:drawing>
            </w:r>
          </w:p>
        </w:tc>
        <w:tc>
          <w:tcPr>
            <w:tcW w:w="4680" w:type="dxa"/>
            <w:tcBorders>
              <w:top w:val="single" w:sz="4" w:space="0" w:color="auto"/>
            </w:tcBorders>
            <w:vAlign w:val="center"/>
          </w:tcPr>
          <w:p w14:paraId="73CCA616" w14:textId="77777777" w:rsidR="005E6578" w:rsidRPr="009A6FC6" w:rsidRDefault="005E6578" w:rsidP="00823E67">
            <w:pPr>
              <w:jc w:val="center"/>
            </w:pPr>
          </w:p>
          <w:p w14:paraId="0D0C891D" w14:textId="77777777" w:rsidR="005E6578" w:rsidRPr="009A6FC6" w:rsidRDefault="005E6578" w:rsidP="00823E67">
            <w:pPr>
              <w:jc w:val="center"/>
            </w:pPr>
            <w:r w:rsidRPr="009A6FC6">
              <w:rPr>
                <w:noProof/>
              </w:rPr>
              <w:drawing>
                <wp:inline distT="0" distB="0" distL="0" distR="0" wp14:anchorId="0BACFF33" wp14:editId="06C6F0E4">
                  <wp:extent cx="2514600" cy="18288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14600" cy="1828800"/>
                          </a:xfrm>
                          <a:prstGeom prst="rect">
                            <a:avLst/>
                          </a:prstGeom>
                          <a:noFill/>
                          <a:ln>
                            <a:noFill/>
                          </a:ln>
                        </pic:spPr>
                      </pic:pic>
                    </a:graphicData>
                  </a:graphic>
                </wp:inline>
              </w:drawing>
            </w:r>
          </w:p>
        </w:tc>
      </w:tr>
      <w:tr w:rsidR="005E6578" w:rsidRPr="009A6FC6" w14:paraId="04F4CF98" w14:textId="77777777" w:rsidTr="00823E67">
        <w:trPr>
          <w:trHeight w:val="216"/>
          <w:jc w:val="center"/>
        </w:trPr>
        <w:tc>
          <w:tcPr>
            <w:tcW w:w="4680" w:type="dxa"/>
            <w:tcBorders>
              <w:bottom w:val="single" w:sz="4" w:space="0" w:color="auto"/>
            </w:tcBorders>
            <w:vAlign w:val="center"/>
          </w:tcPr>
          <w:p w14:paraId="312B18EF" w14:textId="77777777" w:rsidR="005E6578" w:rsidRPr="009A6FC6" w:rsidRDefault="005E6578" w:rsidP="00823E67">
            <w:pPr>
              <w:jc w:val="center"/>
            </w:pPr>
          </w:p>
        </w:tc>
        <w:tc>
          <w:tcPr>
            <w:tcW w:w="4680" w:type="dxa"/>
            <w:tcBorders>
              <w:bottom w:val="single" w:sz="4" w:space="0" w:color="auto"/>
            </w:tcBorders>
            <w:vAlign w:val="center"/>
          </w:tcPr>
          <w:p w14:paraId="5D684A3C" w14:textId="77777777" w:rsidR="005E6578" w:rsidRPr="009A6FC6" w:rsidRDefault="005E6578" w:rsidP="00823E67">
            <w:pPr>
              <w:jc w:val="center"/>
            </w:pPr>
          </w:p>
        </w:tc>
      </w:tr>
    </w:tbl>
    <w:p w14:paraId="6C216EFF" w14:textId="77777777" w:rsidR="005E6578" w:rsidRDefault="005E6578" w:rsidP="00CD5D7E">
      <w:pPr>
        <w:rPr>
          <w:rFonts w:ascii="Times New Roman" w:hAnsi="Times New Roman" w:cs="Times New Roman"/>
          <w:sz w:val="24"/>
          <w:szCs w:val="24"/>
        </w:rPr>
      </w:pPr>
    </w:p>
    <w:p w14:paraId="1E54C31C" w14:textId="2E0DF8D9" w:rsidR="002F1FBA" w:rsidRDefault="005E6578" w:rsidP="00CD5D7E">
      <w:pPr>
        <w:spacing w:line="480" w:lineRule="auto"/>
        <w:ind w:firstLine="720"/>
        <w:rPr>
          <w:rFonts w:ascii="Times New Roman" w:hAnsi="Times New Roman" w:cs="Times New Roman"/>
          <w:sz w:val="24"/>
          <w:szCs w:val="24"/>
        </w:rPr>
      </w:pPr>
      <w:r w:rsidRPr="00CD5D7E">
        <w:rPr>
          <w:rFonts w:ascii="Times New Roman" w:hAnsi="Times New Roman" w:cs="Times New Roman"/>
          <w:sz w:val="24"/>
          <w:szCs w:val="24"/>
        </w:rPr>
        <w:t xml:space="preserve">To better evaluate the </w:t>
      </w:r>
      <w:r w:rsidR="002F1FBA">
        <w:rPr>
          <w:rFonts w:ascii="Times New Roman" w:hAnsi="Times New Roman" w:cs="Times New Roman"/>
          <w:sz w:val="24"/>
          <w:szCs w:val="24"/>
        </w:rPr>
        <w:t>unique</w:t>
      </w:r>
      <w:r w:rsidRPr="00CD5D7E">
        <w:rPr>
          <w:rFonts w:ascii="Times New Roman" w:hAnsi="Times New Roman" w:cs="Times New Roman"/>
          <w:sz w:val="24"/>
          <w:szCs w:val="24"/>
        </w:rPr>
        <w:t xml:space="preserve"> impact of hierarchy versus rivalries on regional conflict patterns, Figures</w:t>
      </w:r>
      <w:r w:rsidR="00CD5D7E">
        <w:rPr>
          <w:rFonts w:ascii="Times New Roman" w:hAnsi="Times New Roman" w:cs="Times New Roman"/>
          <w:sz w:val="24"/>
          <w:szCs w:val="24"/>
        </w:rPr>
        <w:t xml:space="preserve"> 2 </w:t>
      </w:r>
      <w:r w:rsidRPr="00CD5D7E">
        <w:rPr>
          <w:rFonts w:ascii="Times New Roman" w:hAnsi="Times New Roman" w:cs="Times New Roman"/>
          <w:sz w:val="24"/>
          <w:szCs w:val="24"/>
        </w:rPr>
        <w:t xml:space="preserve">and </w:t>
      </w:r>
      <w:r w:rsidR="00CD5D7E">
        <w:rPr>
          <w:rFonts w:ascii="Times New Roman" w:hAnsi="Times New Roman" w:cs="Times New Roman"/>
          <w:sz w:val="24"/>
          <w:szCs w:val="24"/>
        </w:rPr>
        <w:t xml:space="preserve">3 </w:t>
      </w:r>
      <w:r w:rsidRPr="00CD5D7E">
        <w:rPr>
          <w:rFonts w:ascii="Times New Roman" w:hAnsi="Times New Roman" w:cs="Times New Roman"/>
          <w:sz w:val="24"/>
          <w:szCs w:val="24"/>
        </w:rPr>
        <w:t>plot the marginal effects of these conditions for major power and regional power hierarchies respectively (the latter two models in Table 2).</w:t>
      </w:r>
      <w:r w:rsidR="005464E8">
        <w:rPr>
          <w:rFonts w:ascii="Times New Roman" w:hAnsi="Times New Roman" w:cs="Times New Roman"/>
          <w:sz w:val="24"/>
          <w:szCs w:val="24"/>
        </w:rPr>
        <w:t xml:space="preserve"> </w:t>
      </w:r>
      <w:r w:rsidRPr="00CD5D7E">
        <w:rPr>
          <w:rFonts w:ascii="Times New Roman" w:hAnsi="Times New Roman" w:cs="Times New Roman"/>
          <w:sz w:val="24"/>
          <w:szCs w:val="24"/>
        </w:rPr>
        <w:t xml:space="preserve">The left panel in Figure </w:t>
      </w:r>
      <w:r w:rsidR="00CD5D7E">
        <w:rPr>
          <w:rFonts w:ascii="Times New Roman" w:hAnsi="Times New Roman" w:cs="Times New Roman"/>
          <w:sz w:val="24"/>
          <w:szCs w:val="24"/>
        </w:rPr>
        <w:t>2</w:t>
      </w:r>
      <w:r w:rsidRPr="00CD5D7E">
        <w:rPr>
          <w:rFonts w:ascii="Times New Roman" w:hAnsi="Times New Roman" w:cs="Times New Roman"/>
          <w:sz w:val="24"/>
          <w:szCs w:val="24"/>
        </w:rPr>
        <w:t xml:space="preserve"> plots the pacifying effect of a major power within a region, and the right panel plots the conflict exacerbating effect of an increasing number of rivalries in a</w:t>
      </w:r>
      <w:r w:rsidR="00455091">
        <w:rPr>
          <w:rFonts w:ascii="Times New Roman" w:hAnsi="Times New Roman" w:cs="Times New Roman"/>
          <w:sz w:val="24"/>
          <w:szCs w:val="24"/>
        </w:rPr>
        <w:t>ny given</w:t>
      </w:r>
      <w:r w:rsidRPr="00CD5D7E">
        <w:rPr>
          <w:rFonts w:ascii="Times New Roman" w:hAnsi="Times New Roman" w:cs="Times New Roman"/>
          <w:sz w:val="24"/>
          <w:szCs w:val="24"/>
        </w:rPr>
        <w:t xml:space="preserve"> region (each level is observed in our models); the dashed line in the right panel marks 13.333 rivalries, which corresponds to the average number of rivalries in the Middle East in each of our models</w:t>
      </w:r>
      <w:r w:rsidR="00BE26BB">
        <w:rPr>
          <w:rFonts w:ascii="Times New Roman" w:hAnsi="Times New Roman" w:cs="Times New Roman"/>
          <w:sz w:val="24"/>
          <w:szCs w:val="24"/>
        </w:rPr>
        <w:t>—</w:t>
      </w:r>
      <w:r w:rsidRPr="00CD5D7E">
        <w:rPr>
          <w:rFonts w:ascii="Times New Roman" w:hAnsi="Times New Roman" w:cs="Times New Roman"/>
          <w:sz w:val="24"/>
          <w:szCs w:val="24"/>
        </w:rPr>
        <w:t>a point we will revisit below.</w:t>
      </w:r>
      <w:r w:rsidR="005464E8">
        <w:rPr>
          <w:rFonts w:ascii="Times New Roman" w:hAnsi="Times New Roman" w:cs="Times New Roman"/>
          <w:sz w:val="24"/>
          <w:szCs w:val="24"/>
        </w:rPr>
        <w:t xml:space="preserve"> </w:t>
      </w:r>
      <w:r w:rsidRPr="00CD5D7E">
        <w:rPr>
          <w:rFonts w:ascii="Times New Roman" w:hAnsi="Times New Roman" w:cs="Times New Roman"/>
          <w:sz w:val="24"/>
          <w:szCs w:val="24"/>
        </w:rPr>
        <w:t>As shown in the left panel, regions without a major power are predicted to experience nearly 141% more conflict than regions with a major power in terms of severe MID frequency (0.284 versus 0.118).</w:t>
      </w:r>
      <w:r w:rsidR="005464E8">
        <w:rPr>
          <w:rFonts w:ascii="Times New Roman" w:hAnsi="Times New Roman" w:cs="Times New Roman"/>
          <w:sz w:val="24"/>
          <w:szCs w:val="24"/>
        </w:rPr>
        <w:t xml:space="preserve"> </w:t>
      </w:r>
      <w:r w:rsidR="000416F4" w:rsidRPr="000416F4">
        <w:rPr>
          <w:rFonts w:ascii="Times New Roman" w:hAnsi="Times New Roman" w:cs="Times New Roman"/>
          <w:sz w:val="24"/>
          <w:szCs w:val="24"/>
        </w:rPr>
        <w:t>T</w:t>
      </w:r>
      <w:r w:rsidRPr="00CD5D7E">
        <w:rPr>
          <w:rFonts w:ascii="Times New Roman" w:hAnsi="Times New Roman" w:cs="Times New Roman"/>
          <w:sz w:val="24"/>
          <w:szCs w:val="24"/>
        </w:rPr>
        <w:t>hese effects are roughly comparable</w:t>
      </w:r>
      <w:r w:rsidR="000416F4">
        <w:rPr>
          <w:rFonts w:ascii="Times New Roman" w:hAnsi="Times New Roman" w:cs="Times New Roman"/>
          <w:sz w:val="24"/>
          <w:szCs w:val="24"/>
        </w:rPr>
        <w:t>, shown in the right panel,</w:t>
      </w:r>
      <w:r w:rsidRPr="00CD5D7E">
        <w:rPr>
          <w:rFonts w:ascii="Times New Roman" w:hAnsi="Times New Roman" w:cs="Times New Roman"/>
          <w:sz w:val="24"/>
          <w:szCs w:val="24"/>
        </w:rPr>
        <w:t xml:space="preserve"> to the predicted level of </w:t>
      </w:r>
      <w:r w:rsidR="00455091">
        <w:rPr>
          <w:rFonts w:ascii="Times New Roman" w:hAnsi="Times New Roman" w:cs="Times New Roman"/>
          <w:sz w:val="24"/>
          <w:szCs w:val="24"/>
        </w:rPr>
        <w:t>severe MID frequency</w:t>
      </w:r>
      <w:r w:rsidRPr="00CD5D7E">
        <w:rPr>
          <w:rFonts w:ascii="Times New Roman" w:hAnsi="Times New Roman" w:cs="Times New Roman"/>
          <w:sz w:val="24"/>
          <w:szCs w:val="24"/>
        </w:rPr>
        <w:t xml:space="preserve"> </w:t>
      </w:r>
      <w:r w:rsidR="00455091">
        <w:rPr>
          <w:rFonts w:ascii="Times New Roman" w:hAnsi="Times New Roman" w:cs="Times New Roman"/>
          <w:sz w:val="24"/>
          <w:szCs w:val="24"/>
        </w:rPr>
        <w:t>in</w:t>
      </w:r>
      <w:r w:rsidRPr="00CD5D7E">
        <w:rPr>
          <w:rFonts w:ascii="Times New Roman" w:hAnsi="Times New Roman" w:cs="Times New Roman"/>
          <w:sz w:val="24"/>
          <w:szCs w:val="24"/>
        </w:rPr>
        <w:t xml:space="preserve"> regions possessing zero intra-regional rivalries (0.158) and eight intra-regional rivalries (0.287).</w:t>
      </w:r>
      <w:r w:rsidR="005464E8">
        <w:rPr>
          <w:rFonts w:ascii="Times New Roman" w:hAnsi="Times New Roman" w:cs="Times New Roman"/>
          <w:sz w:val="24"/>
          <w:szCs w:val="24"/>
        </w:rPr>
        <w:t xml:space="preserve"> </w:t>
      </w:r>
      <w:r w:rsidRPr="00CD5D7E">
        <w:rPr>
          <w:rFonts w:ascii="Times New Roman" w:hAnsi="Times New Roman" w:cs="Times New Roman"/>
          <w:sz w:val="24"/>
          <w:szCs w:val="24"/>
        </w:rPr>
        <w:t xml:space="preserve">Thus, </w:t>
      </w:r>
      <w:r w:rsidR="006D7752">
        <w:rPr>
          <w:rFonts w:ascii="Times New Roman" w:hAnsi="Times New Roman" w:cs="Times New Roman"/>
          <w:sz w:val="24"/>
          <w:szCs w:val="24"/>
        </w:rPr>
        <w:t>individually,</w:t>
      </w:r>
      <w:r w:rsidR="002F1FBA">
        <w:rPr>
          <w:rFonts w:ascii="Times New Roman" w:hAnsi="Times New Roman" w:cs="Times New Roman"/>
          <w:sz w:val="24"/>
          <w:szCs w:val="24"/>
        </w:rPr>
        <w:t xml:space="preserve"> </w:t>
      </w:r>
      <w:r w:rsidRPr="00CD5D7E">
        <w:rPr>
          <w:rFonts w:ascii="Times New Roman" w:hAnsi="Times New Roman" w:cs="Times New Roman"/>
          <w:sz w:val="24"/>
          <w:szCs w:val="24"/>
        </w:rPr>
        <w:t>both major power hierarchy and intra-regional</w:t>
      </w:r>
      <w:r w:rsidR="00455091" w:rsidRPr="00455091">
        <w:rPr>
          <w:rFonts w:ascii="Times New Roman" w:hAnsi="Times New Roman" w:cs="Times New Roman"/>
          <w:sz w:val="24"/>
          <w:szCs w:val="24"/>
        </w:rPr>
        <w:t xml:space="preserve"> rivalries condition the frequency of severe MIDs</w:t>
      </w:r>
      <w:r w:rsidR="00BE26BB">
        <w:rPr>
          <w:rFonts w:ascii="Times New Roman" w:hAnsi="Times New Roman" w:cs="Times New Roman"/>
          <w:sz w:val="24"/>
          <w:szCs w:val="24"/>
        </w:rPr>
        <w:t>—</w:t>
      </w:r>
      <w:r w:rsidRPr="00CD5D7E">
        <w:rPr>
          <w:rFonts w:ascii="Times New Roman" w:hAnsi="Times New Roman" w:cs="Times New Roman"/>
          <w:sz w:val="24"/>
          <w:szCs w:val="24"/>
        </w:rPr>
        <w:t xml:space="preserve">but the conflict </w:t>
      </w:r>
      <w:r w:rsidRPr="00CD5D7E">
        <w:rPr>
          <w:rFonts w:ascii="Times New Roman" w:hAnsi="Times New Roman" w:cs="Times New Roman"/>
          <w:sz w:val="24"/>
          <w:szCs w:val="24"/>
        </w:rPr>
        <w:lastRenderedPageBreak/>
        <w:t xml:space="preserve">exacerbating effect of rivalries surpasses the pacifying effect of major power hierarchy in the upper half of </w:t>
      </w:r>
      <w:r w:rsidR="00455091">
        <w:rPr>
          <w:rFonts w:ascii="Times New Roman" w:hAnsi="Times New Roman" w:cs="Times New Roman"/>
          <w:sz w:val="24"/>
          <w:szCs w:val="24"/>
        </w:rPr>
        <w:t>our observed rivalry counts</w:t>
      </w:r>
      <w:r w:rsidRPr="00CD5D7E">
        <w:rPr>
          <w:rFonts w:ascii="Times New Roman" w:hAnsi="Times New Roman" w:cs="Times New Roman"/>
          <w:sz w:val="24"/>
          <w:szCs w:val="24"/>
        </w:rPr>
        <w:t>.</w:t>
      </w:r>
      <w:r w:rsidR="00EC54C2">
        <w:rPr>
          <w:rStyle w:val="FootnoteReference"/>
          <w:rFonts w:ascii="Times New Roman" w:hAnsi="Times New Roman" w:cs="Times New Roman"/>
          <w:sz w:val="24"/>
          <w:szCs w:val="24"/>
        </w:rPr>
        <w:footnoteReference w:id="14"/>
      </w:r>
      <w:r w:rsidR="005464E8">
        <w:rPr>
          <w:rFonts w:ascii="Times New Roman" w:hAnsi="Times New Roman" w:cs="Times New Roman"/>
          <w:sz w:val="24"/>
          <w:szCs w:val="24"/>
        </w:rPr>
        <w:t xml:space="preserve"> </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2F1FBA" w:rsidRPr="00BF6FD3" w14:paraId="1900D2B9" w14:textId="77777777" w:rsidTr="00823E67">
        <w:trPr>
          <w:trHeight w:val="470"/>
          <w:jc w:val="center"/>
        </w:trPr>
        <w:tc>
          <w:tcPr>
            <w:tcW w:w="9360" w:type="dxa"/>
            <w:gridSpan w:val="2"/>
            <w:tcBorders>
              <w:bottom w:val="single" w:sz="4" w:space="0" w:color="auto"/>
            </w:tcBorders>
            <w:vAlign w:val="center"/>
          </w:tcPr>
          <w:p w14:paraId="2FDEFF9C" w14:textId="5B5F59F2" w:rsidR="002F1FBA" w:rsidRPr="00BF6FD3" w:rsidRDefault="002F1FBA" w:rsidP="00CD5D7E">
            <w:pPr>
              <w:rPr>
                <w:rFonts w:eastAsia="Calibri"/>
                <w:b/>
              </w:rPr>
            </w:pPr>
            <w:r w:rsidRPr="00BF6FD3">
              <w:rPr>
                <w:rFonts w:eastAsia="Calibri"/>
                <w:b/>
              </w:rPr>
              <w:t xml:space="preserve">Figure </w:t>
            </w:r>
            <w:r w:rsidR="00CD5D7E">
              <w:rPr>
                <w:rFonts w:eastAsia="Calibri"/>
                <w:b/>
              </w:rPr>
              <w:t>4</w:t>
            </w:r>
            <w:r w:rsidRPr="00BF6FD3">
              <w:rPr>
                <w:rFonts w:eastAsia="Calibri"/>
                <w:b/>
              </w:rPr>
              <w:t>: Marginal Effect of Rivalries on Severe MID Frequencies</w:t>
            </w:r>
            <w:r>
              <w:rPr>
                <w:rFonts w:eastAsia="Calibri"/>
                <w:b/>
              </w:rPr>
              <w:t xml:space="preserve"> by Hierarchy Types</w:t>
            </w:r>
          </w:p>
        </w:tc>
      </w:tr>
      <w:tr w:rsidR="002F1FBA" w:rsidRPr="00BF6FD3" w14:paraId="5C4BC9F5" w14:textId="77777777" w:rsidTr="00823E67">
        <w:trPr>
          <w:trHeight w:val="512"/>
          <w:jc w:val="center"/>
        </w:trPr>
        <w:tc>
          <w:tcPr>
            <w:tcW w:w="4680" w:type="dxa"/>
            <w:tcBorders>
              <w:top w:val="single" w:sz="4" w:space="0" w:color="auto"/>
            </w:tcBorders>
            <w:vAlign w:val="center"/>
          </w:tcPr>
          <w:p w14:paraId="4FA0CEE2" w14:textId="77777777" w:rsidR="002F1FBA" w:rsidRPr="00BF6FD3" w:rsidRDefault="002F1FBA" w:rsidP="00823E67">
            <w:pPr>
              <w:jc w:val="center"/>
              <w:rPr>
                <w:rFonts w:eastAsia="Calibri"/>
                <w:i/>
              </w:rPr>
            </w:pPr>
            <w:r w:rsidRPr="00BF6FD3">
              <w:rPr>
                <w:rFonts w:eastAsia="Calibri"/>
                <w:i/>
              </w:rPr>
              <w:t>Major Power Hierarchy</w:t>
            </w:r>
          </w:p>
        </w:tc>
        <w:tc>
          <w:tcPr>
            <w:tcW w:w="4680" w:type="dxa"/>
            <w:tcBorders>
              <w:top w:val="single" w:sz="4" w:space="0" w:color="auto"/>
            </w:tcBorders>
            <w:vAlign w:val="center"/>
          </w:tcPr>
          <w:p w14:paraId="672D9F79" w14:textId="77777777" w:rsidR="002F1FBA" w:rsidRPr="00BF6FD3" w:rsidRDefault="002F1FBA" w:rsidP="00823E67">
            <w:pPr>
              <w:jc w:val="center"/>
              <w:rPr>
                <w:rFonts w:eastAsia="Calibri"/>
                <w:i/>
              </w:rPr>
            </w:pPr>
            <w:r w:rsidRPr="00BF6FD3">
              <w:rPr>
                <w:rFonts w:eastAsia="Calibri"/>
                <w:i/>
              </w:rPr>
              <w:t>Regional Power Hierarchy</w:t>
            </w:r>
          </w:p>
        </w:tc>
      </w:tr>
      <w:tr w:rsidR="002F1FBA" w:rsidRPr="00BF6FD3" w14:paraId="0DC658ED" w14:textId="77777777" w:rsidTr="00823E67">
        <w:trPr>
          <w:jc w:val="center"/>
        </w:trPr>
        <w:tc>
          <w:tcPr>
            <w:tcW w:w="4680" w:type="dxa"/>
            <w:vAlign w:val="center"/>
          </w:tcPr>
          <w:p w14:paraId="628FB683" w14:textId="77777777" w:rsidR="002F1FBA" w:rsidRPr="00BF6FD3" w:rsidRDefault="002F1FBA" w:rsidP="00823E67">
            <w:pPr>
              <w:jc w:val="center"/>
              <w:rPr>
                <w:rFonts w:eastAsia="Calibri"/>
              </w:rPr>
            </w:pPr>
          </w:p>
          <w:p w14:paraId="3E5998C1" w14:textId="77777777" w:rsidR="002F1FBA" w:rsidRPr="00BF6FD3" w:rsidRDefault="002F1FBA" w:rsidP="00823E67">
            <w:pPr>
              <w:jc w:val="center"/>
              <w:rPr>
                <w:rFonts w:eastAsia="Calibri"/>
              </w:rPr>
            </w:pPr>
            <w:r w:rsidRPr="00BF6FD3">
              <w:rPr>
                <w:rFonts w:eastAsia="Calibri"/>
                <w:noProof/>
              </w:rPr>
              <w:drawing>
                <wp:inline distT="0" distB="0" distL="0" distR="0" wp14:anchorId="4F15A11F" wp14:editId="0BD2FE6D">
                  <wp:extent cx="2514600"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14600" cy="1828800"/>
                          </a:xfrm>
                          <a:prstGeom prst="rect">
                            <a:avLst/>
                          </a:prstGeom>
                        </pic:spPr>
                      </pic:pic>
                    </a:graphicData>
                  </a:graphic>
                </wp:inline>
              </w:drawing>
            </w:r>
          </w:p>
        </w:tc>
        <w:tc>
          <w:tcPr>
            <w:tcW w:w="4680" w:type="dxa"/>
            <w:vAlign w:val="center"/>
          </w:tcPr>
          <w:p w14:paraId="0E4603CD" w14:textId="77777777" w:rsidR="002F1FBA" w:rsidRPr="00BF6FD3" w:rsidRDefault="002F1FBA" w:rsidP="00823E67">
            <w:pPr>
              <w:jc w:val="center"/>
              <w:rPr>
                <w:rFonts w:eastAsia="Calibri"/>
              </w:rPr>
            </w:pPr>
          </w:p>
          <w:p w14:paraId="2F0C813A" w14:textId="77777777" w:rsidR="002F1FBA" w:rsidRPr="00BF6FD3" w:rsidRDefault="002F1FBA" w:rsidP="00823E67">
            <w:pPr>
              <w:jc w:val="center"/>
              <w:rPr>
                <w:rFonts w:eastAsia="Calibri"/>
              </w:rPr>
            </w:pPr>
            <w:r w:rsidRPr="00BF6FD3">
              <w:rPr>
                <w:rFonts w:eastAsia="Calibri"/>
                <w:noProof/>
              </w:rPr>
              <w:drawing>
                <wp:inline distT="0" distB="0" distL="0" distR="0" wp14:anchorId="38775F1C" wp14:editId="568881E6">
                  <wp:extent cx="2514600" cy="18288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14600" cy="1828800"/>
                          </a:xfrm>
                          <a:prstGeom prst="rect">
                            <a:avLst/>
                          </a:prstGeom>
                          <a:noFill/>
                          <a:ln>
                            <a:noFill/>
                          </a:ln>
                        </pic:spPr>
                      </pic:pic>
                    </a:graphicData>
                  </a:graphic>
                </wp:inline>
              </w:drawing>
            </w:r>
          </w:p>
        </w:tc>
      </w:tr>
      <w:tr w:rsidR="002F1FBA" w:rsidRPr="00BF6FD3" w14:paraId="19A7A29A" w14:textId="77777777" w:rsidTr="00E246E5">
        <w:trPr>
          <w:trHeight w:val="261"/>
          <w:jc w:val="center"/>
        </w:trPr>
        <w:tc>
          <w:tcPr>
            <w:tcW w:w="4680" w:type="dxa"/>
            <w:tcBorders>
              <w:bottom w:val="single" w:sz="4" w:space="0" w:color="auto"/>
            </w:tcBorders>
            <w:vAlign w:val="center"/>
          </w:tcPr>
          <w:p w14:paraId="0D4E412F" w14:textId="77777777" w:rsidR="002F1FBA" w:rsidRPr="00BF6FD3" w:rsidRDefault="002F1FBA" w:rsidP="00823E67">
            <w:pPr>
              <w:jc w:val="center"/>
              <w:rPr>
                <w:rFonts w:eastAsia="Calibri"/>
              </w:rPr>
            </w:pPr>
          </w:p>
        </w:tc>
        <w:tc>
          <w:tcPr>
            <w:tcW w:w="4680" w:type="dxa"/>
            <w:tcBorders>
              <w:bottom w:val="single" w:sz="4" w:space="0" w:color="auto"/>
            </w:tcBorders>
            <w:vAlign w:val="center"/>
          </w:tcPr>
          <w:p w14:paraId="0E276DB0" w14:textId="77777777" w:rsidR="002F1FBA" w:rsidRPr="00BF6FD3" w:rsidRDefault="002F1FBA" w:rsidP="00823E67">
            <w:pPr>
              <w:jc w:val="center"/>
              <w:rPr>
                <w:rFonts w:eastAsia="Calibri"/>
              </w:rPr>
            </w:pPr>
          </w:p>
        </w:tc>
      </w:tr>
    </w:tbl>
    <w:p w14:paraId="4DEC2E65" w14:textId="77777777" w:rsidR="002F1FBA" w:rsidRDefault="002F1FBA" w:rsidP="00CD5D7E">
      <w:pPr>
        <w:spacing w:line="480" w:lineRule="auto"/>
        <w:rPr>
          <w:rFonts w:ascii="Times New Roman" w:hAnsi="Times New Roman" w:cs="Times New Roman"/>
          <w:sz w:val="24"/>
          <w:szCs w:val="24"/>
        </w:rPr>
      </w:pPr>
    </w:p>
    <w:p w14:paraId="5609220A" w14:textId="12EB23B9" w:rsidR="005E6578" w:rsidRPr="005E6578" w:rsidRDefault="002F1FBA" w:rsidP="00CD5D7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 better capture the effect of intra-regional rivalries on </w:t>
      </w:r>
      <w:r w:rsidR="00455091">
        <w:rPr>
          <w:rFonts w:ascii="Times New Roman" w:hAnsi="Times New Roman" w:cs="Times New Roman"/>
          <w:sz w:val="24"/>
          <w:szCs w:val="24"/>
        </w:rPr>
        <w:t>severe MID frequency</w:t>
      </w:r>
      <w:r>
        <w:rPr>
          <w:rFonts w:ascii="Times New Roman" w:hAnsi="Times New Roman" w:cs="Times New Roman"/>
          <w:sz w:val="24"/>
          <w:szCs w:val="24"/>
        </w:rPr>
        <w:t xml:space="preserve"> patterns by hierarchy type, Figure</w:t>
      </w:r>
      <w:r w:rsidR="00CD5D7E">
        <w:rPr>
          <w:rFonts w:ascii="Times New Roman" w:hAnsi="Times New Roman" w:cs="Times New Roman"/>
          <w:sz w:val="24"/>
          <w:szCs w:val="24"/>
        </w:rPr>
        <w:t xml:space="preserve"> 4</w:t>
      </w:r>
      <w:r>
        <w:rPr>
          <w:rFonts w:ascii="Times New Roman" w:hAnsi="Times New Roman" w:cs="Times New Roman"/>
          <w:sz w:val="24"/>
          <w:szCs w:val="24"/>
        </w:rPr>
        <w:t xml:space="preserve"> plots the predicted levels of conflict </w:t>
      </w:r>
      <w:r w:rsidR="00120424">
        <w:rPr>
          <w:rFonts w:ascii="Times New Roman" w:hAnsi="Times New Roman" w:cs="Times New Roman"/>
          <w:sz w:val="24"/>
          <w:szCs w:val="24"/>
        </w:rPr>
        <w:t>by</w:t>
      </w:r>
      <w:r>
        <w:rPr>
          <w:rFonts w:ascii="Times New Roman" w:hAnsi="Times New Roman" w:cs="Times New Roman"/>
          <w:sz w:val="24"/>
          <w:szCs w:val="24"/>
        </w:rPr>
        <w:t xml:space="preserve"> increasing numbers of rivalries in regions with hierarchy versus regions without.</w:t>
      </w:r>
      <w:r w:rsidR="005464E8">
        <w:rPr>
          <w:rFonts w:ascii="Times New Roman" w:hAnsi="Times New Roman" w:cs="Times New Roman"/>
          <w:sz w:val="24"/>
          <w:szCs w:val="24"/>
        </w:rPr>
        <w:t xml:space="preserve"> </w:t>
      </w:r>
      <w:r>
        <w:rPr>
          <w:rFonts w:ascii="Times New Roman" w:hAnsi="Times New Roman" w:cs="Times New Roman"/>
          <w:sz w:val="24"/>
          <w:szCs w:val="24"/>
        </w:rPr>
        <w:t xml:space="preserve">In the case of major powers (left panel), regions characterized by the presence of a major power (dashed line) are always predicted to experience lower </w:t>
      </w:r>
      <w:r w:rsidR="00455091">
        <w:rPr>
          <w:rFonts w:ascii="Times New Roman" w:hAnsi="Times New Roman" w:cs="Times New Roman"/>
          <w:sz w:val="24"/>
          <w:szCs w:val="24"/>
        </w:rPr>
        <w:t>severe MID frequency</w:t>
      </w:r>
      <w:r>
        <w:rPr>
          <w:rFonts w:ascii="Times New Roman" w:hAnsi="Times New Roman" w:cs="Times New Roman"/>
          <w:sz w:val="24"/>
          <w:szCs w:val="24"/>
        </w:rPr>
        <w:t xml:space="preserve"> than regions without such hierarchy (solid line)</w:t>
      </w:r>
      <w:r w:rsidR="00937D5D">
        <w:rPr>
          <w:rFonts w:ascii="Times New Roman" w:hAnsi="Times New Roman" w:cs="Times New Roman"/>
          <w:sz w:val="24"/>
          <w:szCs w:val="24"/>
        </w:rPr>
        <w:t>—</w:t>
      </w:r>
      <w:r>
        <w:rPr>
          <w:rFonts w:ascii="Times New Roman" w:hAnsi="Times New Roman" w:cs="Times New Roman"/>
          <w:sz w:val="24"/>
          <w:szCs w:val="24"/>
        </w:rPr>
        <w:t>no matter the number of intra-regional rivalries present</w:t>
      </w:r>
      <w:r w:rsidR="00937D5D">
        <w:rPr>
          <w:rFonts w:ascii="Times New Roman" w:hAnsi="Times New Roman" w:cs="Times New Roman"/>
          <w:sz w:val="24"/>
          <w:szCs w:val="24"/>
        </w:rPr>
        <w:t>.</w:t>
      </w:r>
      <w:r>
        <w:rPr>
          <w:rFonts w:ascii="Times New Roman" w:hAnsi="Times New Roman" w:cs="Times New Roman"/>
          <w:sz w:val="24"/>
          <w:szCs w:val="24"/>
        </w:rPr>
        <w:t xml:space="preserve"> </w:t>
      </w:r>
      <w:r w:rsidR="00937D5D">
        <w:rPr>
          <w:rFonts w:ascii="Times New Roman" w:hAnsi="Times New Roman" w:cs="Times New Roman"/>
          <w:sz w:val="24"/>
          <w:szCs w:val="24"/>
        </w:rPr>
        <w:t>T</w:t>
      </w:r>
      <w:r>
        <w:rPr>
          <w:rFonts w:ascii="Times New Roman" w:hAnsi="Times New Roman" w:cs="Times New Roman"/>
          <w:sz w:val="24"/>
          <w:szCs w:val="24"/>
        </w:rPr>
        <w:t>he same cannot be said of regional power hierarchies whose pacifying effect becomes indistinguishable from non-hierarchical regions as the number of intra-regional rivalries approaches the</w:t>
      </w:r>
      <w:r w:rsidR="00455091">
        <w:rPr>
          <w:rFonts w:ascii="Times New Roman" w:hAnsi="Times New Roman" w:cs="Times New Roman"/>
          <w:sz w:val="24"/>
          <w:szCs w:val="24"/>
        </w:rPr>
        <w:t xml:space="preserve"> upper-third of our observed intra-regional rivalry counts</w:t>
      </w:r>
      <w:r>
        <w:rPr>
          <w:rFonts w:ascii="Times New Roman" w:hAnsi="Times New Roman" w:cs="Times New Roman"/>
          <w:sz w:val="24"/>
          <w:szCs w:val="24"/>
        </w:rPr>
        <w:t>.</w:t>
      </w:r>
    </w:p>
    <w:tbl>
      <w:tblPr>
        <w:tblStyle w:val="TableGrid"/>
        <w:tblW w:w="5000" w:type="pct"/>
        <w:jc w:val="center"/>
        <w:tblLayout w:type="fixed"/>
        <w:tblLook w:val="04A0" w:firstRow="1" w:lastRow="0" w:firstColumn="1" w:lastColumn="0" w:noHBand="0" w:noVBand="1"/>
      </w:tblPr>
      <w:tblGrid>
        <w:gridCol w:w="1895"/>
        <w:gridCol w:w="1084"/>
        <w:gridCol w:w="1086"/>
        <w:gridCol w:w="1088"/>
        <w:gridCol w:w="1076"/>
        <w:gridCol w:w="1078"/>
        <w:gridCol w:w="1080"/>
        <w:gridCol w:w="973"/>
      </w:tblGrid>
      <w:tr w:rsidR="00636BD8" w:rsidRPr="008A5E55" w14:paraId="7D5522F5" w14:textId="77777777" w:rsidTr="00CD5D7E">
        <w:trPr>
          <w:cantSplit/>
          <w:trHeight w:val="562"/>
          <w:jc w:val="center"/>
        </w:trPr>
        <w:tc>
          <w:tcPr>
            <w:tcW w:w="5000" w:type="pct"/>
            <w:gridSpan w:val="8"/>
            <w:tcBorders>
              <w:top w:val="nil"/>
              <w:left w:val="nil"/>
              <w:bottom w:val="single" w:sz="4" w:space="0" w:color="auto"/>
              <w:right w:val="nil"/>
            </w:tcBorders>
            <w:vAlign w:val="center"/>
          </w:tcPr>
          <w:p w14:paraId="10969EC2" w14:textId="140A6EA0" w:rsidR="00636BD8" w:rsidRPr="00EA5765" w:rsidRDefault="00636BD8" w:rsidP="00CD5D7E">
            <w:pPr>
              <w:ind w:right="61"/>
              <w:rPr>
                <w:b/>
                <w:sz w:val="24"/>
                <w:szCs w:val="24"/>
              </w:rPr>
            </w:pPr>
            <w:r w:rsidRPr="00EA5765">
              <w:rPr>
                <w:b/>
                <w:sz w:val="24"/>
                <w:szCs w:val="24"/>
              </w:rPr>
              <w:t>T</w:t>
            </w:r>
            <w:r w:rsidR="007B17E3">
              <w:rPr>
                <w:b/>
                <w:sz w:val="24"/>
                <w:szCs w:val="24"/>
              </w:rPr>
              <w:t>able</w:t>
            </w:r>
            <w:r w:rsidRPr="00EA5765">
              <w:rPr>
                <w:b/>
                <w:sz w:val="24"/>
                <w:szCs w:val="24"/>
              </w:rPr>
              <w:t xml:space="preserve"> 3: OLS Regression Models for Major and Regional Powers and Regional Conflict with Number of States in Region Involved in Severe MIDs/Number of States in Region.</w:t>
            </w:r>
          </w:p>
        </w:tc>
      </w:tr>
      <w:tr w:rsidR="00636BD8" w:rsidRPr="008A5E55" w14:paraId="1AB5E2EE" w14:textId="77777777" w:rsidTr="00636BD8">
        <w:trPr>
          <w:gridAfter w:val="1"/>
          <w:wAfter w:w="520" w:type="pct"/>
          <w:cantSplit/>
          <w:jc w:val="center"/>
        </w:trPr>
        <w:tc>
          <w:tcPr>
            <w:tcW w:w="1012" w:type="pct"/>
            <w:tcBorders>
              <w:top w:val="single" w:sz="4" w:space="0" w:color="auto"/>
              <w:left w:val="nil"/>
              <w:bottom w:val="nil"/>
              <w:right w:val="nil"/>
            </w:tcBorders>
          </w:tcPr>
          <w:p w14:paraId="462B10D5" w14:textId="77777777" w:rsidR="00636BD8" w:rsidRPr="008A5E55" w:rsidRDefault="00636BD8" w:rsidP="00636BD8"/>
        </w:tc>
        <w:tc>
          <w:tcPr>
            <w:tcW w:w="1159" w:type="pct"/>
            <w:gridSpan w:val="2"/>
            <w:tcBorders>
              <w:top w:val="single" w:sz="4" w:space="0" w:color="auto"/>
              <w:left w:val="nil"/>
              <w:bottom w:val="single" w:sz="4" w:space="0" w:color="auto"/>
              <w:right w:val="nil"/>
            </w:tcBorders>
            <w:vAlign w:val="center"/>
          </w:tcPr>
          <w:p w14:paraId="7D3190B8" w14:textId="77777777" w:rsidR="00636BD8" w:rsidRPr="008A5E55" w:rsidRDefault="00636BD8" w:rsidP="00636BD8">
            <w:pPr>
              <w:jc w:val="center"/>
              <w:rPr>
                <w:i/>
              </w:rPr>
            </w:pPr>
            <w:r w:rsidRPr="008A5E55">
              <w:rPr>
                <w:i/>
              </w:rPr>
              <w:t>Base Model</w:t>
            </w:r>
          </w:p>
        </w:tc>
        <w:tc>
          <w:tcPr>
            <w:tcW w:w="1156" w:type="pct"/>
            <w:gridSpan w:val="2"/>
            <w:tcBorders>
              <w:top w:val="single" w:sz="4" w:space="0" w:color="auto"/>
              <w:left w:val="nil"/>
              <w:bottom w:val="single" w:sz="4" w:space="0" w:color="auto"/>
              <w:right w:val="nil"/>
            </w:tcBorders>
            <w:vAlign w:val="center"/>
          </w:tcPr>
          <w:p w14:paraId="7189DEC6" w14:textId="77777777" w:rsidR="00636BD8" w:rsidRPr="008A5E55" w:rsidRDefault="00636BD8" w:rsidP="00636BD8">
            <w:pPr>
              <w:jc w:val="center"/>
              <w:rPr>
                <w:i/>
              </w:rPr>
            </w:pPr>
            <w:r w:rsidRPr="008A5E55">
              <w:rPr>
                <w:i/>
              </w:rPr>
              <w:t xml:space="preserve">Major Power </w:t>
            </w:r>
          </w:p>
          <w:p w14:paraId="51343C8D" w14:textId="77777777" w:rsidR="00636BD8" w:rsidRPr="008A5E55" w:rsidRDefault="00636BD8" w:rsidP="00636BD8">
            <w:pPr>
              <w:jc w:val="center"/>
              <w:rPr>
                <w:i/>
              </w:rPr>
            </w:pPr>
            <w:r w:rsidRPr="008A5E55">
              <w:rPr>
                <w:i/>
              </w:rPr>
              <w:t xml:space="preserve">Presence </w:t>
            </w:r>
          </w:p>
        </w:tc>
        <w:tc>
          <w:tcPr>
            <w:tcW w:w="1153" w:type="pct"/>
            <w:gridSpan w:val="2"/>
            <w:tcBorders>
              <w:top w:val="single" w:sz="4" w:space="0" w:color="auto"/>
              <w:left w:val="nil"/>
              <w:bottom w:val="single" w:sz="4" w:space="0" w:color="auto"/>
              <w:right w:val="nil"/>
            </w:tcBorders>
          </w:tcPr>
          <w:p w14:paraId="5C03D958" w14:textId="77777777" w:rsidR="00636BD8" w:rsidRPr="008A5E55" w:rsidRDefault="00636BD8" w:rsidP="00636BD8">
            <w:pPr>
              <w:jc w:val="center"/>
              <w:rPr>
                <w:i/>
              </w:rPr>
            </w:pPr>
            <w:r w:rsidRPr="008A5E55">
              <w:rPr>
                <w:i/>
              </w:rPr>
              <w:t>Regional Power Presence</w:t>
            </w:r>
          </w:p>
        </w:tc>
      </w:tr>
      <w:tr w:rsidR="00636BD8" w:rsidRPr="008A5E55" w14:paraId="77EF8BE4" w14:textId="77777777" w:rsidTr="00636BD8">
        <w:trPr>
          <w:gridAfter w:val="1"/>
          <w:wAfter w:w="520" w:type="pct"/>
          <w:cantSplit/>
          <w:jc w:val="center"/>
        </w:trPr>
        <w:tc>
          <w:tcPr>
            <w:tcW w:w="1012" w:type="pct"/>
            <w:tcBorders>
              <w:top w:val="nil"/>
              <w:left w:val="nil"/>
              <w:bottom w:val="nil"/>
              <w:right w:val="nil"/>
            </w:tcBorders>
            <w:vAlign w:val="center"/>
          </w:tcPr>
          <w:p w14:paraId="4ECF95C2" w14:textId="77777777" w:rsidR="00636BD8" w:rsidRPr="008A5E55" w:rsidRDefault="00636BD8" w:rsidP="00636BD8">
            <w:pPr>
              <w:ind w:right="-186"/>
              <w:rPr>
                <w:rFonts w:eastAsia="Times New Roman"/>
              </w:rPr>
            </w:pPr>
            <w:r w:rsidRPr="008A5E55">
              <w:rPr>
                <w:rFonts w:eastAsia="Times New Roman"/>
              </w:rPr>
              <w:t>Hierarchy</w:t>
            </w:r>
          </w:p>
        </w:tc>
        <w:tc>
          <w:tcPr>
            <w:tcW w:w="579" w:type="pct"/>
            <w:tcBorders>
              <w:top w:val="nil"/>
              <w:left w:val="nil"/>
              <w:bottom w:val="nil"/>
              <w:right w:val="nil"/>
            </w:tcBorders>
            <w:vAlign w:val="center"/>
          </w:tcPr>
          <w:p w14:paraId="0CB11064" w14:textId="77777777" w:rsidR="00636BD8" w:rsidRPr="008A5E55" w:rsidRDefault="00636BD8" w:rsidP="00636BD8">
            <w:pPr>
              <w:jc w:val="center"/>
              <w:rPr>
                <w:color w:val="000000" w:themeColor="text1"/>
              </w:rPr>
            </w:pPr>
            <w:r w:rsidRPr="008A5E55">
              <w:rPr>
                <w:color w:val="000000" w:themeColor="text1"/>
              </w:rPr>
              <w:t>-</w:t>
            </w:r>
          </w:p>
        </w:tc>
        <w:tc>
          <w:tcPr>
            <w:tcW w:w="580" w:type="pct"/>
            <w:tcBorders>
              <w:top w:val="nil"/>
              <w:left w:val="nil"/>
              <w:bottom w:val="nil"/>
              <w:right w:val="nil"/>
            </w:tcBorders>
            <w:vAlign w:val="center"/>
          </w:tcPr>
          <w:p w14:paraId="7FCE88CB" w14:textId="77777777" w:rsidR="00636BD8" w:rsidRPr="008A5E55" w:rsidRDefault="00636BD8" w:rsidP="00636BD8">
            <w:pPr>
              <w:jc w:val="center"/>
              <w:rPr>
                <w:color w:val="000000" w:themeColor="text1"/>
              </w:rPr>
            </w:pPr>
            <w:r w:rsidRPr="008A5E55">
              <w:rPr>
                <w:color w:val="000000" w:themeColor="text1"/>
              </w:rPr>
              <w:t>-</w:t>
            </w:r>
          </w:p>
        </w:tc>
        <w:tc>
          <w:tcPr>
            <w:tcW w:w="581" w:type="pct"/>
            <w:tcBorders>
              <w:top w:val="nil"/>
              <w:left w:val="nil"/>
              <w:bottom w:val="nil"/>
              <w:right w:val="nil"/>
            </w:tcBorders>
            <w:vAlign w:val="center"/>
          </w:tcPr>
          <w:p w14:paraId="3162C3FD" w14:textId="77777777" w:rsidR="00636BD8" w:rsidRPr="008A5E55" w:rsidRDefault="00636BD8" w:rsidP="00636BD8">
            <w:pPr>
              <w:ind w:right="-110"/>
              <w:rPr>
                <w:color w:val="000000" w:themeColor="text1"/>
              </w:rPr>
            </w:pPr>
            <w:r>
              <w:rPr>
                <w:color w:val="000000" w:themeColor="text1"/>
              </w:rPr>
              <w:t>-0.285***</w:t>
            </w:r>
          </w:p>
        </w:tc>
        <w:tc>
          <w:tcPr>
            <w:tcW w:w="575" w:type="pct"/>
            <w:tcBorders>
              <w:top w:val="nil"/>
              <w:left w:val="nil"/>
              <w:bottom w:val="nil"/>
              <w:right w:val="nil"/>
            </w:tcBorders>
            <w:vAlign w:val="center"/>
          </w:tcPr>
          <w:p w14:paraId="35059EA5" w14:textId="77777777" w:rsidR="00636BD8" w:rsidRPr="008A5E55" w:rsidRDefault="00636BD8" w:rsidP="00636BD8">
            <w:pPr>
              <w:rPr>
                <w:color w:val="000000" w:themeColor="text1"/>
              </w:rPr>
            </w:pPr>
            <w:r>
              <w:rPr>
                <w:color w:val="000000" w:themeColor="text1"/>
              </w:rPr>
              <w:t>(0.051)</w:t>
            </w:r>
          </w:p>
        </w:tc>
        <w:tc>
          <w:tcPr>
            <w:tcW w:w="576" w:type="pct"/>
            <w:tcBorders>
              <w:top w:val="nil"/>
              <w:left w:val="nil"/>
              <w:bottom w:val="nil"/>
              <w:right w:val="nil"/>
            </w:tcBorders>
            <w:vAlign w:val="center"/>
          </w:tcPr>
          <w:p w14:paraId="33A402B3" w14:textId="77777777" w:rsidR="00636BD8" w:rsidRPr="008A5E55" w:rsidRDefault="00636BD8" w:rsidP="00636BD8">
            <w:pPr>
              <w:ind w:right="-132"/>
              <w:rPr>
                <w:color w:val="000000" w:themeColor="text1"/>
              </w:rPr>
            </w:pPr>
            <w:r w:rsidRPr="008A5E55">
              <w:rPr>
                <w:color w:val="000000" w:themeColor="text1"/>
              </w:rPr>
              <w:t>-0.</w:t>
            </w:r>
            <w:r>
              <w:rPr>
                <w:color w:val="000000" w:themeColor="text1"/>
              </w:rPr>
              <w:t>141</w:t>
            </w:r>
            <w:r w:rsidRPr="008A5E55">
              <w:rPr>
                <w:rFonts w:cs="Times"/>
              </w:rPr>
              <w:t>**</w:t>
            </w:r>
          </w:p>
        </w:tc>
        <w:tc>
          <w:tcPr>
            <w:tcW w:w="577" w:type="pct"/>
            <w:tcBorders>
              <w:top w:val="nil"/>
              <w:left w:val="nil"/>
              <w:bottom w:val="nil"/>
              <w:right w:val="nil"/>
            </w:tcBorders>
            <w:vAlign w:val="center"/>
          </w:tcPr>
          <w:p w14:paraId="36084FF0" w14:textId="77777777" w:rsidR="00636BD8" w:rsidRPr="008A5E55" w:rsidRDefault="00636BD8" w:rsidP="00636BD8">
            <w:pPr>
              <w:rPr>
                <w:color w:val="000000" w:themeColor="text1"/>
              </w:rPr>
            </w:pPr>
            <w:r w:rsidRPr="008A5E55">
              <w:rPr>
                <w:color w:val="000000" w:themeColor="text1"/>
              </w:rPr>
              <w:t>(0.04</w:t>
            </w:r>
            <w:r>
              <w:rPr>
                <w:color w:val="000000" w:themeColor="text1"/>
              </w:rPr>
              <w:t>7</w:t>
            </w:r>
            <w:r w:rsidRPr="008A5E55">
              <w:rPr>
                <w:color w:val="000000" w:themeColor="text1"/>
              </w:rPr>
              <w:t>)</w:t>
            </w:r>
          </w:p>
        </w:tc>
      </w:tr>
      <w:tr w:rsidR="00636BD8" w:rsidRPr="008A5E55" w14:paraId="2BB0B5C1" w14:textId="77777777" w:rsidTr="00636BD8">
        <w:trPr>
          <w:gridAfter w:val="1"/>
          <w:wAfter w:w="520" w:type="pct"/>
          <w:cantSplit/>
          <w:jc w:val="center"/>
        </w:trPr>
        <w:tc>
          <w:tcPr>
            <w:tcW w:w="1012" w:type="pct"/>
            <w:tcBorders>
              <w:top w:val="nil"/>
              <w:left w:val="nil"/>
              <w:bottom w:val="nil"/>
              <w:right w:val="nil"/>
            </w:tcBorders>
            <w:vAlign w:val="center"/>
          </w:tcPr>
          <w:p w14:paraId="3BD6A4A3" w14:textId="77777777" w:rsidR="00636BD8" w:rsidRPr="008A5E55" w:rsidRDefault="00636BD8" w:rsidP="00636BD8">
            <w:pPr>
              <w:ind w:right="-186"/>
              <w:rPr>
                <w:rFonts w:eastAsia="Times New Roman"/>
              </w:rPr>
            </w:pPr>
            <w:r w:rsidRPr="008A5E55">
              <w:rPr>
                <w:rFonts w:eastAsia="Times New Roman"/>
              </w:rPr>
              <w:t># Intra-Regional Rivalries</w:t>
            </w:r>
            <w:r w:rsidRPr="008A5E55">
              <w:rPr>
                <w:rFonts w:eastAsia="Times New Roman"/>
                <w:vertAlign w:val="subscript"/>
              </w:rPr>
              <w:t xml:space="preserve"> t-1</w:t>
            </w:r>
          </w:p>
        </w:tc>
        <w:tc>
          <w:tcPr>
            <w:tcW w:w="579" w:type="pct"/>
            <w:tcBorders>
              <w:top w:val="nil"/>
              <w:left w:val="nil"/>
              <w:bottom w:val="nil"/>
              <w:right w:val="nil"/>
            </w:tcBorders>
            <w:vAlign w:val="center"/>
          </w:tcPr>
          <w:p w14:paraId="3476CFF7" w14:textId="77777777" w:rsidR="00636BD8" w:rsidRPr="008A5E55" w:rsidRDefault="00636BD8" w:rsidP="00636BD8">
            <w:pPr>
              <w:rPr>
                <w:color w:val="000000" w:themeColor="text1"/>
              </w:rPr>
            </w:pPr>
            <w:r w:rsidRPr="008A5E55">
              <w:rPr>
                <w:color w:val="000000" w:themeColor="text1"/>
              </w:rPr>
              <w:t>0.05</w:t>
            </w:r>
            <w:r>
              <w:rPr>
                <w:color w:val="000000" w:themeColor="text1"/>
              </w:rPr>
              <w:t>2</w:t>
            </w:r>
            <w:r w:rsidRPr="008A5E55">
              <w:rPr>
                <w:color w:val="000000" w:themeColor="text1"/>
              </w:rPr>
              <w:t>***</w:t>
            </w:r>
          </w:p>
        </w:tc>
        <w:tc>
          <w:tcPr>
            <w:tcW w:w="580" w:type="pct"/>
            <w:tcBorders>
              <w:top w:val="nil"/>
              <w:left w:val="nil"/>
              <w:bottom w:val="nil"/>
              <w:right w:val="nil"/>
            </w:tcBorders>
            <w:vAlign w:val="center"/>
          </w:tcPr>
          <w:p w14:paraId="4D150CE6" w14:textId="77777777" w:rsidR="00636BD8" w:rsidRPr="008A5E55" w:rsidRDefault="00636BD8" w:rsidP="00636BD8">
            <w:pPr>
              <w:rPr>
                <w:color w:val="000000" w:themeColor="text1"/>
              </w:rPr>
            </w:pPr>
            <w:r w:rsidRPr="008A5E55">
              <w:rPr>
                <w:color w:val="000000" w:themeColor="text1"/>
              </w:rPr>
              <w:t>(0.00</w:t>
            </w:r>
            <w:r>
              <w:rPr>
                <w:color w:val="000000" w:themeColor="text1"/>
              </w:rPr>
              <w:t>6</w:t>
            </w:r>
            <w:r w:rsidRPr="008A5E55">
              <w:rPr>
                <w:color w:val="000000" w:themeColor="text1"/>
              </w:rPr>
              <w:t>)</w:t>
            </w:r>
          </w:p>
        </w:tc>
        <w:tc>
          <w:tcPr>
            <w:tcW w:w="581" w:type="pct"/>
            <w:tcBorders>
              <w:top w:val="nil"/>
              <w:left w:val="nil"/>
              <w:bottom w:val="nil"/>
              <w:right w:val="nil"/>
            </w:tcBorders>
            <w:vAlign w:val="center"/>
          </w:tcPr>
          <w:p w14:paraId="3B9CA90C" w14:textId="77777777" w:rsidR="00636BD8" w:rsidRPr="008A5E55" w:rsidRDefault="00636BD8" w:rsidP="00636BD8">
            <w:pPr>
              <w:ind w:right="-12"/>
              <w:rPr>
                <w:color w:val="000000" w:themeColor="text1"/>
              </w:rPr>
            </w:pPr>
            <w:r>
              <w:rPr>
                <w:color w:val="000000" w:themeColor="text1"/>
              </w:rPr>
              <w:t>0.045***</w:t>
            </w:r>
          </w:p>
        </w:tc>
        <w:tc>
          <w:tcPr>
            <w:tcW w:w="575" w:type="pct"/>
            <w:tcBorders>
              <w:top w:val="nil"/>
              <w:left w:val="nil"/>
              <w:bottom w:val="nil"/>
              <w:right w:val="nil"/>
            </w:tcBorders>
            <w:vAlign w:val="center"/>
          </w:tcPr>
          <w:p w14:paraId="040E14DE" w14:textId="77777777" w:rsidR="00636BD8" w:rsidRPr="008A5E55" w:rsidRDefault="00636BD8" w:rsidP="00636BD8">
            <w:pPr>
              <w:rPr>
                <w:color w:val="000000" w:themeColor="text1"/>
              </w:rPr>
            </w:pPr>
            <w:r>
              <w:rPr>
                <w:color w:val="000000" w:themeColor="text1"/>
              </w:rPr>
              <w:t>(0.006)</w:t>
            </w:r>
          </w:p>
        </w:tc>
        <w:tc>
          <w:tcPr>
            <w:tcW w:w="576" w:type="pct"/>
            <w:tcBorders>
              <w:top w:val="nil"/>
              <w:left w:val="nil"/>
              <w:bottom w:val="nil"/>
              <w:right w:val="nil"/>
            </w:tcBorders>
            <w:vAlign w:val="center"/>
          </w:tcPr>
          <w:p w14:paraId="2B434485" w14:textId="77777777" w:rsidR="00636BD8" w:rsidRPr="008A5E55" w:rsidRDefault="00636BD8" w:rsidP="00636BD8">
            <w:pPr>
              <w:ind w:right="-132"/>
              <w:rPr>
                <w:color w:val="000000" w:themeColor="text1"/>
              </w:rPr>
            </w:pPr>
            <w:r w:rsidRPr="008A5E55">
              <w:rPr>
                <w:color w:val="000000" w:themeColor="text1"/>
              </w:rPr>
              <w:t>0.0</w:t>
            </w:r>
            <w:r>
              <w:rPr>
                <w:color w:val="000000" w:themeColor="text1"/>
              </w:rPr>
              <w:t>47</w:t>
            </w:r>
            <w:r w:rsidRPr="008A5E55">
              <w:rPr>
                <w:color w:val="000000" w:themeColor="text1"/>
              </w:rPr>
              <w:t>***</w:t>
            </w:r>
          </w:p>
        </w:tc>
        <w:tc>
          <w:tcPr>
            <w:tcW w:w="577" w:type="pct"/>
            <w:tcBorders>
              <w:top w:val="nil"/>
              <w:left w:val="nil"/>
              <w:bottom w:val="nil"/>
              <w:right w:val="nil"/>
            </w:tcBorders>
            <w:vAlign w:val="center"/>
          </w:tcPr>
          <w:p w14:paraId="4EA85AD0" w14:textId="77777777" w:rsidR="00636BD8" w:rsidRPr="008A5E55" w:rsidRDefault="00636BD8" w:rsidP="00636BD8">
            <w:pPr>
              <w:rPr>
                <w:color w:val="000000" w:themeColor="text1"/>
              </w:rPr>
            </w:pPr>
            <w:r w:rsidRPr="008A5E55">
              <w:rPr>
                <w:color w:val="000000" w:themeColor="text1"/>
              </w:rPr>
              <w:t>(0.00</w:t>
            </w:r>
            <w:r>
              <w:rPr>
                <w:color w:val="000000" w:themeColor="text1"/>
              </w:rPr>
              <w:t>8</w:t>
            </w:r>
            <w:r w:rsidRPr="008A5E55">
              <w:rPr>
                <w:color w:val="000000" w:themeColor="text1"/>
              </w:rPr>
              <w:t>)</w:t>
            </w:r>
          </w:p>
        </w:tc>
      </w:tr>
      <w:tr w:rsidR="00636BD8" w:rsidRPr="008A5E55" w14:paraId="374E4397" w14:textId="77777777" w:rsidTr="00636BD8">
        <w:trPr>
          <w:gridAfter w:val="1"/>
          <w:wAfter w:w="520" w:type="pct"/>
          <w:cantSplit/>
          <w:jc w:val="center"/>
        </w:trPr>
        <w:tc>
          <w:tcPr>
            <w:tcW w:w="1012" w:type="pct"/>
            <w:tcBorders>
              <w:top w:val="nil"/>
              <w:left w:val="nil"/>
              <w:bottom w:val="nil"/>
              <w:right w:val="nil"/>
            </w:tcBorders>
            <w:vAlign w:val="center"/>
          </w:tcPr>
          <w:p w14:paraId="35397EF0" w14:textId="77777777" w:rsidR="00636BD8" w:rsidRPr="008A5E55" w:rsidRDefault="00636BD8" w:rsidP="00636BD8">
            <w:pPr>
              <w:ind w:right="-186"/>
              <w:rPr>
                <w:rFonts w:eastAsia="Times New Roman"/>
              </w:rPr>
            </w:pPr>
            <w:r w:rsidRPr="008A5E55">
              <w:rPr>
                <w:rFonts w:eastAsia="Times New Roman"/>
              </w:rPr>
              <w:t># Civil Wars</w:t>
            </w:r>
            <w:r w:rsidRPr="008A5E55">
              <w:rPr>
                <w:rFonts w:eastAsia="Times New Roman"/>
                <w:vertAlign w:val="subscript"/>
              </w:rPr>
              <w:t xml:space="preserve"> t-1</w:t>
            </w:r>
          </w:p>
        </w:tc>
        <w:tc>
          <w:tcPr>
            <w:tcW w:w="579" w:type="pct"/>
            <w:tcBorders>
              <w:top w:val="nil"/>
              <w:left w:val="nil"/>
              <w:bottom w:val="nil"/>
              <w:right w:val="nil"/>
            </w:tcBorders>
            <w:vAlign w:val="center"/>
          </w:tcPr>
          <w:p w14:paraId="79C77E26" w14:textId="77777777" w:rsidR="00636BD8" w:rsidRPr="008A5E55" w:rsidRDefault="00636BD8" w:rsidP="00636BD8">
            <w:pPr>
              <w:rPr>
                <w:color w:val="000000" w:themeColor="text1"/>
              </w:rPr>
            </w:pPr>
            <w:r w:rsidRPr="008A5E55">
              <w:rPr>
                <w:color w:val="000000" w:themeColor="text1"/>
              </w:rPr>
              <w:t>0.02</w:t>
            </w:r>
            <w:r>
              <w:rPr>
                <w:color w:val="000000" w:themeColor="text1"/>
              </w:rPr>
              <w:t>7</w:t>
            </w:r>
            <w:r w:rsidRPr="008A5E55">
              <w:rPr>
                <w:color w:val="000000" w:themeColor="text1"/>
              </w:rPr>
              <w:t>*</w:t>
            </w:r>
          </w:p>
        </w:tc>
        <w:tc>
          <w:tcPr>
            <w:tcW w:w="580" w:type="pct"/>
            <w:tcBorders>
              <w:top w:val="nil"/>
              <w:left w:val="nil"/>
              <w:bottom w:val="nil"/>
              <w:right w:val="nil"/>
            </w:tcBorders>
            <w:vAlign w:val="center"/>
          </w:tcPr>
          <w:p w14:paraId="753F6426" w14:textId="77777777" w:rsidR="00636BD8" w:rsidRPr="008A5E55" w:rsidRDefault="00636BD8" w:rsidP="00636BD8">
            <w:pPr>
              <w:rPr>
                <w:color w:val="000000" w:themeColor="text1"/>
              </w:rPr>
            </w:pPr>
            <w:r w:rsidRPr="008A5E55">
              <w:rPr>
                <w:color w:val="000000" w:themeColor="text1"/>
              </w:rPr>
              <w:t>(0.012)</w:t>
            </w:r>
          </w:p>
        </w:tc>
        <w:tc>
          <w:tcPr>
            <w:tcW w:w="581" w:type="pct"/>
            <w:tcBorders>
              <w:top w:val="nil"/>
              <w:left w:val="nil"/>
              <w:bottom w:val="nil"/>
              <w:right w:val="nil"/>
            </w:tcBorders>
            <w:vAlign w:val="center"/>
          </w:tcPr>
          <w:p w14:paraId="1BF1F8D2" w14:textId="77777777" w:rsidR="00636BD8" w:rsidRPr="008A5E55" w:rsidRDefault="00636BD8" w:rsidP="00636BD8">
            <w:pPr>
              <w:ind w:right="-12"/>
              <w:rPr>
                <w:color w:val="000000" w:themeColor="text1"/>
              </w:rPr>
            </w:pPr>
            <w:r>
              <w:rPr>
                <w:color w:val="000000" w:themeColor="text1"/>
              </w:rPr>
              <w:t>0.009</w:t>
            </w:r>
          </w:p>
        </w:tc>
        <w:tc>
          <w:tcPr>
            <w:tcW w:w="575" w:type="pct"/>
            <w:tcBorders>
              <w:top w:val="nil"/>
              <w:left w:val="nil"/>
              <w:bottom w:val="nil"/>
              <w:right w:val="nil"/>
            </w:tcBorders>
            <w:vAlign w:val="center"/>
          </w:tcPr>
          <w:p w14:paraId="2CE3633C" w14:textId="77777777" w:rsidR="00636BD8" w:rsidRPr="008A5E55" w:rsidRDefault="00636BD8" w:rsidP="00636BD8">
            <w:pPr>
              <w:rPr>
                <w:color w:val="000000" w:themeColor="text1"/>
              </w:rPr>
            </w:pPr>
            <w:r>
              <w:rPr>
                <w:color w:val="000000" w:themeColor="text1"/>
              </w:rPr>
              <w:t>(0.010)</w:t>
            </w:r>
          </w:p>
        </w:tc>
        <w:tc>
          <w:tcPr>
            <w:tcW w:w="576" w:type="pct"/>
            <w:tcBorders>
              <w:top w:val="nil"/>
              <w:left w:val="nil"/>
              <w:bottom w:val="nil"/>
              <w:right w:val="nil"/>
            </w:tcBorders>
            <w:vAlign w:val="center"/>
          </w:tcPr>
          <w:p w14:paraId="2A62D18F" w14:textId="77777777" w:rsidR="00636BD8" w:rsidRPr="008A5E55" w:rsidRDefault="00636BD8" w:rsidP="00636BD8">
            <w:pPr>
              <w:ind w:right="-132"/>
              <w:rPr>
                <w:color w:val="000000" w:themeColor="text1"/>
              </w:rPr>
            </w:pPr>
            <w:r w:rsidRPr="008A5E55">
              <w:rPr>
                <w:color w:val="000000" w:themeColor="text1"/>
              </w:rPr>
              <w:t>0.0</w:t>
            </w:r>
            <w:r>
              <w:rPr>
                <w:color w:val="000000" w:themeColor="text1"/>
              </w:rPr>
              <w:t>60</w:t>
            </w:r>
            <w:r w:rsidRPr="008A5E55">
              <w:rPr>
                <w:color w:val="000000" w:themeColor="text1"/>
              </w:rPr>
              <w:t>***</w:t>
            </w:r>
          </w:p>
        </w:tc>
        <w:tc>
          <w:tcPr>
            <w:tcW w:w="577" w:type="pct"/>
            <w:tcBorders>
              <w:top w:val="nil"/>
              <w:left w:val="nil"/>
              <w:bottom w:val="nil"/>
              <w:right w:val="nil"/>
            </w:tcBorders>
            <w:vAlign w:val="center"/>
          </w:tcPr>
          <w:p w14:paraId="2C0E2FD8" w14:textId="77777777" w:rsidR="00636BD8" w:rsidRPr="008A5E55" w:rsidRDefault="00636BD8" w:rsidP="00636BD8">
            <w:pPr>
              <w:rPr>
                <w:color w:val="000000" w:themeColor="text1"/>
              </w:rPr>
            </w:pPr>
            <w:r w:rsidRPr="008A5E55">
              <w:rPr>
                <w:color w:val="000000" w:themeColor="text1"/>
              </w:rPr>
              <w:t>(0.017)</w:t>
            </w:r>
          </w:p>
        </w:tc>
      </w:tr>
      <w:tr w:rsidR="00636BD8" w:rsidRPr="008A5E55" w14:paraId="3E8A2B4D" w14:textId="77777777" w:rsidTr="00636BD8">
        <w:trPr>
          <w:gridAfter w:val="1"/>
          <w:wAfter w:w="520" w:type="pct"/>
          <w:cantSplit/>
          <w:jc w:val="center"/>
        </w:trPr>
        <w:tc>
          <w:tcPr>
            <w:tcW w:w="1012" w:type="pct"/>
            <w:tcBorders>
              <w:top w:val="nil"/>
              <w:left w:val="nil"/>
              <w:bottom w:val="nil"/>
              <w:right w:val="nil"/>
            </w:tcBorders>
            <w:vAlign w:val="center"/>
          </w:tcPr>
          <w:p w14:paraId="5083D4B1" w14:textId="77777777" w:rsidR="00636BD8" w:rsidRPr="008A5E55" w:rsidRDefault="00636BD8" w:rsidP="00636BD8">
            <w:pPr>
              <w:ind w:right="-186"/>
              <w:rPr>
                <w:rFonts w:eastAsia="Times New Roman"/>
              </w:rPr>
            </w:pPr>
            <w:r w:rsidRPr="008A5E55">
              <w:rPr>
                <w:rFonts w:eastAsia="Times New Roman"/>
              </w:rPr>
              <w:t>Territorial Claims</w:t>
            </w:r>
            <w:r w:rsidRPr="008A5E55">
              <w:rPr>
                <w:rFonts w:eastAsia="Times New Roman"/>
                <w:vertAlign w:val="subscript"/>
              </w:rPr>
              <w:t xml:space="preserve"> t-1</w:t>
            </w:r>
          </w:p>
        </w:tc>
        <w:tc>
          <w:tcPr>
            <w:tcW w:w="579" w:type="pct"/>
            <w:tcBorders>
              <w:top w:val="nil"/>
              <w:left w:val="nil"/>
              <w:bottom w:val="nil"/>
              <w:right w:val="nil"/>
            </w:tcBorders>
            <w:vAlign w:val="center"/>
          </w:tcPr>
          <w:p w14:paraId="6C836629" w14:textId="77777777" w:rsidR="00636BD8" w:rsidRPr="008A5E55" w:rsidRDefault="00636BD8" w:rsidP="00636BD8">
            <w:pPr>
              <w:rPr>
                <w:color w:val="000000" w:themeColor="text1"/>
              </w:rPr>
            </w:pPr>
            <w:r w:rsidRPr="008A5E55">
              <w:rPr>
                <w:color w:val="000000" w:themeColor="text1"/>
              </w:rPr>
              <w:t>0.2</w:t>
            </w:r>
            <w:r>
              <w:rPr>
                <w:color w:val="000000" w:themeColor="text1"/>
              </w:rPr>
              <w:t>47</w:t>
            </w:r>
            <w:r w:rsidRPr="008A5E55">
              <w:rPr>
                <w:color w:val="000000" w:themeColor="text1"/>
              </w:rPr>
              <w:t>**</w:t>
            </w:r>
          </w:p>
        </w:tc>
        <w:tc>
          <w:tcPr>
            <w:tcW w:w="580" w:type="pct"/>
            <w:tcBorders>
              <w:top w:val="nil"/>
              <w:left w:val="nil"/>
              <w:bottom w:val="nil"/>
              <w:right w:val="nil"/>
            </w:tcBorders>
            <w:vAlign w:val="center"/>
          </w:tcPr>
          <w:p w14:paraId="07F32743" w14:textId="77777777" w:rsidR="00636BD8" w:rsidRPr="008A5E55" w:rsidRDefault="00636BD8" w:rsidP="00636BD8">
            <w:pPr>
              <w:rPr>
                <w:color w:val="000000" w:themeColor="text1"/>
              </w:rPr>
            </w:pPr>
            <w:r w:rsidRPr="008A5E55">
              <w:rPr>
                <w:color w:val="000000" w:themeColor="text1"/>
              </w:rPr>
              <w:t>(0.084)</w:t>
            </w:r>
          </w:p>
        </w:tc>
        <w:tc>
          <w:tcPr>
            <w:tcW w:w="581" w:type="pct"/>
            <w:tcBorders>
              <w:top w:val="nil"/>
              <w:left w:val="nil"/>
              <w:bottom w:val="nil"/>
              <w:right w:val="nil"/>
            </w:tcBorders>
            <w:vAlign w:val="center"/>
          </w:tcPr>
          <w:p w14:paraId="1635EC44" w14:textId="77777777" w:rsidR="00636BD8" w:rsidRPr="008A5E55" w:rsidRDefault="00636BD8" w:rsidP="00636BD8">
            <w:pPr>
              <w:ind w:right="-12"/>
              <w:rPr>
                <w:color w:val="000000" w:themeColor="text1"/>
              </w:rPr>
            </w:pPr>
            <w:r>
              <w:rPr>
                <w:color w:val="000000" w:themeColor="text1"/>
              </w:rPr>
              <w:t>0.308**</w:t>
            </w:r>
          </w:p>
        </w:tc>
        <w:tc>
          <w:tcPr>
            <w:tcW w:w="575" w:type="pct"/>
            <w:tcBorders>
              <w:top w:val="nil"/>
              <w:left w:val="nil"/>
              <w:bottom w:val="nil"/>
              <w:right w:val="nil"/>
            </w:tcBorders>
            <w:vAlign w:val="center"/>
          </w:tcPr>
          <w:p w14:paraId="2DB5A5A6" w14:textId="77777777" w:rsidR="00636BD8" w:rsidRPr="008A5E55" w:rsidRDefault="00636BD8" w:rsidP="00636BD8">
            <w:pPr>
              <w:rPr>
                <w:color w:val="000000" w:themeColor="text1"/>
              </w:rPr>
            </w:pPr>
            <w:r>
              <w:rPr>
                <w:color w:val="000000" w:themeColor="text1"/>
              </w:rPr>
              <w:t>(0.113)</w:t>
            </w:r>
          </w:p>
        </w:tc>
        <w:tc>
          <w:tcPr>
            <w:tcW w:w="576" w:type="pct"/>
            <w:tcBorders>
              <w:top w:val="nil"/>
              <w:left w:val="nil"/>
              <w:bottom w:val="nil"/>
              <w:right w:val="nil"/>
            </w:tcBorders>
            <w:vAlign w:val="center"/>
          </w:tcPr>
          <w:p w14:paraId="2CA0ACF2" w14:textId="77777777" w:rsidR="00636BD8" w:rsidRPr="008A5E55" w:rsidRDefault="00636BD8" w:rsidP="00636BD8">
            <w:pPr>
              <w:ind w:right="-132"/>
              <w:rPr>
                <w:color w:val="000000" w:themeColor="text1"/>
              </w:rPr>
            </w:pPr>
            <w:r w:rsidRPr="008A5E55">
              <w:rPr>
                <w:color w:val="000000" w:themeColor="text1"/>
              </w:rPr>
              <w:t>0.2</w:t>
            </w:r>
            <w:r>
              <w:rPr>
                <w:color w:val="000000" w:themeColor="text1"/>
              </w:rPr>
              <w:t>66</w:t>
            </w:r>
            <w:r w:rsidRPr="008A5E55">
              <w:rPr>
                <w:color w:val="000000" w:themeColor="text1"/>
              </w:rPr>
              <w:t>**</w:t>
            </w:r>
          </w:p>
        </w:tc>
        <w:tc>
          <w:tcPr>
            <w:tcW w:w="577" w:type="pct"/>
            <w:tcBorders>
              <w:top w:val="nil"/>
              <w:left w:val="nil"/>
              <w:bottom w:val="nil"/>
              <w:right w:val="nil"/>
            </w:tcBorders>
            <w:vAlign w:val="center"/>
          </w:tcPr>
          <w:p w14:paraId="2B177903" w14:textId="77777777" w:rsidR="00636BD8" w:rsidRPr="008A5E55" w:rsidRDefault="00636BD8" w:rsidP="00636BD8">
            <w:pPr>
              <w:rPr>
                <w:color w:val="000000" w:themeColor="text1"/>
              </w:rPr>
            </w:pPr>
            <w:r w:rsidRPr="008A5E55">
              <w:rPr>
                <w:color w:val="000000" w:themeColor="text1"/>
              </w:rPr>
              <w:t>(0.084)</w:t>
            </w:r>
          </w:p>
        </w:tc>
      </w:tr>
      <w:tr w:rsidR="00636BD8" w:rsidRPr="008A5E55" w14:paraId="6E386C74" w14:textId="77777777" w:rsidTr="00636BD8">
        <w:trPr>
          <w:gridAfter w:val="1"/>
          <w:wAfter w:w="520" w:type="pct"/>
          <w:cantSplit/>
          <w:jc w:val="center"/>
        </w:trPr>
        <w:tc>
          <w:tcPr>
            <w:tcW w:w="1012" w:type="pct"/>
            <w:tcBorders>
              <w:top w:val="nil"/>
              <w:left w:val="nil"/>
              <w:bottom w:val="nil"/>
              <w:right w:val="nil"/>
            </w:tcBorders>
            <w:vAlign w:val="center"/>
          </w:tcPr>
          <w:p w14:paraId="55AC0030" w14:textId="77777777" w:rsidR="00636BD8" w:rsidRPr="008A5E55" w:rsidRDefault="00636BD8" w:rsidP="00636BD8">
            <w:pPr>
              <w:ind w:right="30"/>
              <w:rPr>
                <w:rFonts w:eastAsia="Times New Roman"/>
              </w:rPr>
            </w:pPr>
            <w:r w:rsidRPr="008A5E55">
              <w:rPr>
                <w:rFonts w:eastAsia="Times New Roman"/>
              </w:rPr>
              <w:t xml:space="preserve">% Regional Trade </w:t>
            </w:r>
            <w:r w:rsidRPr="008A5E55">
              <w:rPr>
                <w:rFonts w:eastAsia="Times New Roman"/>
                <w:vertAlign w:val="subscript"/>
              </w:rPr>
              <w:t>t-1</w:t>
            </w:r>
          </w:p>
        </w:tc>
        <w:tc>
          <w:tcPr>
            <w:tcW w:w="579" w:type="pct"/>
            <w:tcBorders>
              <w:top w:val="nil"/>
              <w:left w:val="nil"/>
              <w:bottom w:val="nil"/>
              <w:right w:val="nil"/>
            </w:tcBorders>
            <w:vAlign w:val="center"/>
          </w:tcPr>
          <w:p w14:paraId="42901BC3" w14:textId="77777777" w:rsidR="00636BD8" w:rsidRPr="008A5E55" w:rsidRDefault="00636BD8" w:rsidP="00636BD8">
            <w:pPr>
              <w:rPr>
                <w:color w:val="000000" w:themeColor="text1"/>
              </w:rPr>
            </w:pPr>
            <w:r w:rsidRPr="008A5E55">
              <w:rPr>
                <w:color w:val="000000" w:themeColor="text1"/>
              </w:rPr>
              <w:t>-0.0</w:t>
            </w:r>
            <w:r>
              <w:rPr>
                <w:color w:val="000000" w:themeColor="text1"/>
              </w:rPr>
              <w:t>71</w:t>
            </w:r>
            <w:r w:rsidRPr="008A5E55">
              <w:rPr>
                <w:color w:val="000000" w:themeColor="text1"/>
              </w:rPr>
              <w:t>**</w:t>
            </w:r>
          </w:p>
        </w:tc>
        <w:tc>
          <w:tcPr>
            <w:tcW w:w="580" w:type="pct"/>
            <w:tcBorders>
              <w:top w:val="nil"/>
              <w:left w:val="nil"/>
              <w:bottom w:val="nil"/>
              <w:right w:val="nil"/>
            </w:tcBorders>
            <w:vAlign w:val="center"/>
          </w:tcPr>
          <w:p w14:paraId="2D85D804" w14:textId="77777777" w:rsidR="00636BD8" w:rsidRPr="008A5E55" w:rsidRDefault="00636BD8" w:rsidP="00636BD8">
            <w:pPr>
              <w:rPr>
                <w:color w:val="000000" w:themeColor="text1"/>
              </w:rPr>
            </w:pPr>
            <w:r w:rsidRPr="008A5E55">
              <w:rPr>
                <w:color w:val="000000" w:themeColor="text1"/>
              </w:rPr>
              <w:t>(0.021)</w:t>
            </w:r>
          </w:p>
        </w:tc>
        <w:tc>
          <w:tcPr>
            <w:tcW w:w="581" w:type="pct"/>
            <w:tcBorders>
              <w:top w:val="nil"/>
              <w:left w:val="nil"/>
              <w:bottom w:val="nil"/>
              <w:right w:val="nil"/>
            </w:tcBorders>
            <w:vAlign w:val="center"/>
          </w:tcPr>
          <w:p w14:paraId="02BCD292" w14:textId="77777777" w:rsidR="00636BD8" w:rsidRPr="008A5E55" w:rsidRDefault="00636BD8" w:rsidP="00636BD8">
            <w:pPr>
              <w:ind w:right="-12"/>
              <w:jc w:val="center"/>
              <w:rPr>
                <w:color w:val="000000" w:themeColor="text1"/>
              </w:rPr>
            </w:pPr>
            <w:r w:rsidRPr="008A5E55">
              <w:rPr>
                <w:color w:val="000000" w:themeColor="text1"/>
              </w:rPr>
              <w:t>-</w:t>
            </w:r>
          </w:p>
        </w:tc>
        <w:tc>
          <w:tcPr>
            <w:tcW w:w="575" w:type="pct"/>
            <w:tcBorders>
              <w:top w:val="nil"/>
              <w:left w:val="nil"/>
              <w:bottom w:val="nil"/>
              <w:right w:val="nil"/>
            </w:tcBorders>
            <w:vAlign w:val="center"/>
          </w:tcPr>
          <w:p w14:paraId="20E6D899" w14:textId="77777777" w:rsidR="00636BD8" w:rsidRPr="008A5E55" w:rsidRDefault="00636BD8" w:rsidP="00636BD8">
            <w:pPr>
              <w:jc w:val="center"/>
              <w:rPr>
                <w:color w:val="000000" w:themeColor="text1"/>
              </w:rPr>
            </w:pPr>
            <w:r w:rsidRPr="008A5E55">
              <w:rPr>
                <w:color w:val="000000" w:themeColor="text1"/>
              </w:rPr>
              <w:t>-</w:t>
            </w:r>
          </w:p>
        </w:tc>
        <w:tc>
          <w:tcPr>
            <w:tcW w:w="576" w:type="pct"/>
            <w:tcBorders>
              <w:top w:val="nil"/>
              <w:left w:val="nil"/>
              <w:bottom w:val="nil"/>
              <w:right w:val="nil"/>
            </w:tcBorders>
            <w:vAlign w:val="center"/>
          </w:tcPr>
          <w:p w14:paraId="531029D8" w14:textId="77777777" w:rsidR="00636BD8" w:rsidRPr="008A5E55" w:rsidRDefault="00636BD8" w:rsidP="00636BD8">
            <w:pPr>
              <w:ind w:right="-132"/>
              <w:rPr>
                <w:color w:val="000000" w:themeColor="text1"/>
              </w:rPr>
            </w:pPr>
            <w:r w:rsidRPr="008A5E55">
              <w:rPr>
                <w:color w:val="000000" w:themeColor="text1"/>
              </w:rPr>
              <w:t>0.001</w:t>
            </w:r>
          </w:p>
        </w:tc>
        <w:tc>
          <w:tcPr>
            <w:tcW w:w="577" w:type="pct"/>
            <w:tcBorders>
              <w:top w:val="nil"/>
              <w:left w:val="nil"/>
              <w:bottom w:val="nil"/>
              <w:right w:val="nil"/>
            </w:tcBorders>
            <w:vAlign w:val="center"/>
          </w:tcPr>
          <w:p w14:paraId="2E222028" w14:textId="77777777" w:rsidR="00636BD8" w:rsidRPr="008A5E55" w:rsidRDefault="00636BD8" w:rsidP="00636BD8">
            <w:pPr>
              <w:rPr>
                <w:color w:val="000000" w:themeColor="text1"/>
              </w:rPr>
            </w:pPr>
            <w:r w:rsidRPr="008A5E55">
              <w:rPr>
                <w:color w:val="000000" w:themeColor="text1"/>
              </w:rPr>
              <w:t>(0.032)</w:t>
            </w:r>
          </w:p>
        </w:tc>
      </w:tr>
      <w:tr w:rsidR="00636BD8" w:rsidRPr="008A5E55" w14:paraId="1887A679" w14:textId="77777777" w:rsidTr="00636BD8">
        <w:trPr>
          <w:gridAfter w:val="1"/>
          <w:wAfter w:w="520" w:type="pct"/>
          <w:cantSplit/>
          <w:jc w:val="center"/>
        </w:trPr>
        <w:tc>
          <w:tcPr>
            <w:tcW w:w="1012" w:type="pct"/>
            <w:tcBorders>
              <w:top w:val="nil"/>
              <w:left w:val="nil"/>
              <w:bottom w:val="nil"/>
              <w:right w:val="nil"/>
            </w:tcBorders>
            <w:vAlign w:val="center"/>
          </w:tcPr>
          <w:p w14:paraId="05A59AC0" w14:textId="77777777" w:rsidR="00636BD8" w:rsidRPr="008A5E55" w:rsidRDefault="00636BD8" w:rsidP="00636BD8">
            <w:pPr>
              <w:ind w:right="-186"/>
              <w:rPr>
                <w:rFonts w:eastAsia="Times New Roman"/>
              </w:rPr>
            </w:pPr>
            <w:r w:rsidRPr="008A5E55">
              <w:rPr>
                <w:rFonts w:eastAsia="Times New Roman"/>
              </w:rPr>
              <w:t>% Regional Democracies</w:t>
            </w:r>
            <w:r w:rsidRPr="008A5E55">
              <w:rPr>
                <w:rFonts w:eastAsia="Times New Roman"/>
                <w:vertAlign w:val="subscript"/>
              </w:rPr>
              <w:t xml:space="preserve"> t-1</w:t>
            </w:r>
          </w:p>
        </w:tc>
        <w:tc>
          <w:tcPr>
            <w:tcW w:w="579" w:type="pct"/>
            <w:tcBorders>
              <w:top w:val="nil"/>
              <w:left w:val="nil"/>
              <w:bottom w:val="nil"/>
              <w:right w:val="nil"/>
            </w:tcBorders>
            <w:vAlign w:val="center"/>
          </w:tcPr>
          <w:p w14:paraId="3D2E6DEC" w14:textId="77777777" w:rsidR="00636BD8" w:rsidRPr="008A5E55" w:rsidRDefault="00636BD8" w:rsidP="00636BD8">
            <w:pPr>
              <w:rPr>
                <w:color w:val="000000" w:themeColor="text1"/>
              </w:rPr>
            </w:pPr>
            <w:r w:rsidRPr="008A5E55">
              <w:rPr>
                <w:color w:val="000000" w:themeColor="text1"/>
              </w:rPr>
              <w:t>-0.1</w:t>
            </w:r>
            <w:r>
              <w:rPr>
                <w:color w:val="000000" w:themeColor="text1"/>
              </w:rPr>
              <w:t>29</w:t>
            </w:r>
          </w:p>
        </w:tc>
        <w:tc>
          <w:tcPr>
            <w:tcW w:w="580" w:type="pct"/>
            <w:tcBorders>
              <w:top w:val="nil"/>
              <w:left w:val="nil"/>
              <w:bottom w:val="nil"/>
              <w:right w:val="nil"/>
            </w:tcBorders>
            <w:vAlign w:val="center"/>
          </w:tcPr>
          <w:p w14:paraId="393BDD16" w14:textId="77777777" w:rsidR="00636BD8" w:rsidRPr="008A5E55" w:rsidRDefault="00636BD8" w:rsidP="00636BD8">
            <w:pPr>
              <w:rPr>
                <w:color w:val="000000" w:themeColor="text1"/>
              </w:rPr>
            </w:pPr>
            <w:r w:rsidRPr="008A5E55">
              <w:rPr>
                <w:color w:val="000000" w:themeColor="text1"/>
              </w:rPr>
              <w:t>(0.07</w:t>
            </w:r>
            <w:r>
              <w:rPr>
                <w:color w:val="000000" w:themeColor="text1"/>
              </w:rPr>
              <w:t>4</w:t>
            </w:r>
            <w:r w:rsidRPr="008A5E55">
              <w:rPr>
                <w:color w:val="000000" w:themeColor="text1"/>
              </w:rPr>
              <w:t>)</w:t>
            </w:r>
          </w:p>
        </w:tc>
        <w:tc>
          <w:tcPr>
            <w:tcW w:w="581" w:type="pct"/>
            <w:tcBorders>
              <w:top w:val="nil"/>
              <w:left w:val="nil"/>
              <w:bottom w:val="nil"/>
              <w:right w:val="nil"/>
            </w:tcBorders>
            <w:vAlign w:val="center"/>
          </w:tcPr>
          <w:p w14:paraId="489D737A" w14:textId="77777777" w:rsidR="00636BD8" w:rsidRPr="008A5E55" w:rsidRDefault="00636BD8" w:rsidP="00636BD8">
            <w:pPr>
              <w:ind w:right="-12"/>
              <w:rPr>
                <w:color w:val="000000" w:themeColor="text1"/>
              </w:rPr>
            </w:pPr>
            <w:r>
              <w:rPr>
                <w:color w:val="000000" w:themeColor="text1"/>
              </w:rPr>
              <w:t>-0.033</w:t>
            </w:r>
          </w:p>
        </w:tc>
        <w:tc>
          <w:tcPr>
            <w:tcW w:w="575" w:type="pct"/>
            <w:tcBorders>
              <w:top w:val="nil"/>
              <w:left w:val="nil"/>
              <w:bottom w:val="nil"/>
              <w:right w:val="nil"/>
            </w:tcBorders>
            <w:vAlign w:val="center"/>
          </w:tcPr>
          <w:p w14:paraId="5B63EB08" w14:textId="77777777" w:rsidR="00636BD8" w:rsidRPr="008A5E55" w:rsidRDefault="00636BD8" w:rsidP="00636BD8">
            <w:pPr>
              <w:rPr>
                <w:color w:val="000000" w:themeColor="text1"/>
              </w:rPr>
            </w:pPr>
            <w:r>
              <w:rPr>
                <w:color w:val="000000" w:themeColor="text1"/>
              </w:rPr>
              <w:t>(0.093)</w:t>
            </w:r>
          </w:p>
        </w:tc>
        <w:tc>
          <w:tcPr>
            <w:tcW w:w="576" w:type="pct"/>
            <w:tcBorders>
              <w:top w:val="nil"/>
              <w:left w:val="nil"/>
              <w:bottom w:val="nil"/>
              <w:right w:val="nil"/>
            </w:tcBorders>
            <w:vAlign w:val="center"/>
          </w:tcPr>
          <w:p w14:paraId="233C7856" w14:textId="77777777" w:rsidR="00636BD8" w:rsidRPr="008A5E55" w:rsidRDefault="00636BD8" w:rsidP="00636BD8">
            <w:pPr>
              <w:ind w:right="-132"/>
              <w:rPr>
                <w:color w:val="000000" w:themeColor="text1"/>
              </w:rPr>
            </w:pPr>
            <w:r w:rsidRPr="008A5E55">
              <w:rPr>
                <w:color w:val="000000" w:themeColor="text1"/>
              </w:rPr>
              <w:t>-0.</w:t>
            </w:r>
            <w:r>
              <w:rPr>
                <w:color w:val="000000" w:themeColor="text1"/>
              </w:rPr>
              <w:t>163</w:t>
            </w:r>
            <w:r w:rsidRPr="008A5E55">
              <w:rPr>
                <w:rFonts w:cs="Times"/>
              </w:rPr>
              <w:t>*</w:t>
            </w:r>
          </w:p>
        </w:tc>
        <w:tc>
          <w:tcPr>
            <w:tcW w:w="577" w:type="pct"/>
            <w:tcBorders>
              <w:top w:val="nil"/>
              <w:left w:val="nil"/>
              <w:bottom w:val="nil"/>
              <w:right w:val="nil"/>
            </w:tcBorders>
            <w:vAlign w:val="center"/>
          </w:tcPr>
          <w:p w14:paraId="61E13A54" w14:textId="77777777" w:rsidR="00636BD8" w:rsidRPr="008A5E55" w:rsidRDefault="00636BD8" w:rsidP="00636BD8">
            <w:pPr>
              <w:rPr>
                <w:color w:val="000000" w:themeColor="text1"/>
              </w:rPr>
            </w:pPr>
            <w:r w:rsidRPr="008A5E55">
              <w:rPr>
                <w:color w:val="000000" w:themeColor="text1"/>
              </w:rPr>
              <w:t>(0.07</w:t>
            </w:r>
            <w:r>
              <w:rPr>
                <w:color w:val="000000" w:themeColor="text1"/>
              </w:rPr>
              <w:t>6</w:t>
            </w:r>
            <w:r w:rsidRPr="008A5E55">
              <w:rPr>
                <w:color w:val="000000" w:themeColor="text1"/>
              </w:rPr>
              <w:t>)</w:t>
            </w:r>
          </w:p>
        </w:tc>
      </w:tr>
      <w:tr w:rsidR="00636BD8" w:rsidRPr="008A5E55" w14:paraId="66CC3235" w14:textId="77777777" w:rsidTr="00636BD8">
        <w:trPr>
          <w:gridAfter w:val="1"/>
          <w:wAfter w:w="520" w:type="pct"/>
          <w:cantSplit/>
          <w:jc w:val="center"/>
        </w:trPr>
        <w:tc>
          <w:tcPr>
            <w:tcW w:w="1012" w:type="pct"/>
            <w:tcBorders>
              <w:top w:val="nil"/>
              <w:left w:val="nil"/>
              <w:bottom w:val="nil"/>
              <w:right w:val="nil"/>
            </w:tcBorders>
            <w:vAlign w:val="center"/>
          </w:tcPr>
          <w:p w14:paraId="270A3066" w14:textId="77777777" w:rsidR="00636BD8" w:rsidRPr="008A5E55" w:rsidRDefault="00636BD8" w:rsidP="00636BD8">
            <w:pPr>
              <w:ind w:right="-186"/>
              <w:rPr>
                <w:rFonts w:eastAsia="Times New Roman"/>
              </w:rPr>
            </w:pPr>
            <w:r w:rsidRPr="008A5E55">
              <w:rPr>
                <w:rFonts w:eastAsia="Times New Roman"/>
              </w:rPr>
              <w:t>IGO Membership</w:t>
            </w:r>
            <w:r w:rsidRPr="008A5E55">
              <w:rPr>
                <w:rFonts w:eastAsia="Times New Roman"/>
                <w:vertAlign w:val="subscript"/>
              </w:rPr>
              <w:t xml:space="preserve"> t-1</w:t>
            </w:r>
          </w:p>
        </w:tc>
        <w:tc>
          <w:tcPr>
            <w:tcW w:w="579" w:type="pct"/>
            <w:tcBorders>
              <w:top w:val="nil"/>
              <w:left w:val="nil"/>
              <w:bottom w:val="nil"/>
              <w:right w:val="nil"/>
            </w:tcBorders>
            <w:vAlign w:val="center"/>
          </w:tcPr>
          <w:p w14:paraId="4CEF749F" w14:textId="77777777" w:rsidR="00636BD8" w:rsidRPr="008A5E55" w:rsidRDefault="00636BD8" w:rsidP="00636BD8">
            <w:pPr>
              <w:rPr>
                <w:color w:val="000000" w:themeColor="text1"/>
              </w:rPr>
            </w:pPr>
            <w:r w:rsidRPr="008A5E55">
              <w:rPr>
                <w:color w:val="000000" w:themeColor="text1"/>
              </w:rPr>
              <w:t>-0.</w:t>
            </w:r>
            <w:r>
              <w:rPr>
                <w:color w:val="000000" w:themeColor="text1"/>
              </w:rPr>
              <w:t>336</w:t>
            </w:r>
            <w:r w:rsidRPr="008A5E55">
              <w:rPr>
                <w:color w:val="000000" w:themeColor="text1"/>
              </w:rPr>
              <w:t>***</w:t>
            </w:r>
          </w:p>
        </w:tc>
        <w:tc>
          <w:tcPr>
            <w:tcW w:w="580" w:type="pct"/>
            <w:tcBorders>
              <w:top w:val="nil"/>
              <w:left w:val="nil"/>
              <w:bottom w:val="nil"/>
              <w:right w:val="nil"/>
            </w:tcBorders>
            <w:vAlign w:val="center"/>
          </w:tcPr>
          <w:p w14:paraId="1959E11D" w14:textId="77777777" w:rsidR="00636BD8" w:rsidRPr="008A5E55" w:rsidRDefault="00636BD8" w:rsidP="00636BD8">
            <w:pPr>
              <w:rPr>
                <w:color w:val="000000" w:themeColor="text1"/>
              </w:rPr>
            </w:pPr>
            <w:r w:rsidRPr="008A5E55">
              <w:rPr>
                <w:color w:val="000000" w:themeColor="text1"/>
              </w:rPr>
              <w:t>(0.07</w:t>
            </w:r>
            <w:r>
              <w:rPr>
                <w:color w:val="000000" w:themeColor="text1"/>
              </w:rPr>
              <w:t>3</w:t>
            </w:r>
            <w:r w:rsidRPr="008A5E55">
              <w:rPr>
                <w:color w:val="000000" w:themeColor="text1"/>
              </w:rPr>
              <w:t>)</w:t>
            </w:r>
          </w:p>
        </w:tc>
        <w:tc>
          <w:tcPr>
            <w:tcW w:w="581" w:type="pct"/>
            <w:tcBorders>
              <w:top w:val="nil"/>
              <w:left w:val="nil"/>
              <w:bottom w:val="nil"/>
              <w:right w:val="nil"/>
            </w:tcBorders>
            <w:vAlign w:val="center"/>
          </w:tcPr>
          <w:p w14:paraId="281DD7D9" w14:textId="77777777" w:rsidR="00636BD8" w:rsidRPr="008A5E55" w:rsidRDefault="00636BD8" w:rsidP="00636BD8">
            <w:pPr>
              <w:ind w:right="-12"/>
              <w:rPr>
                <w:color w:val="000000" w:themeColor="text1"/>
              </w:rPr>
            </w:pPr>
            <w:r>
              <w:rPr>
                <w:color w:val="000000" w:themeColor="text1"/>
              </w:rPr>
              <w:t>-0.360***</w:t>
            </w:r>
          </w:p>
        </w:tc>
        <w:tc>
          <w:tcPr>
            <w:tcW w:w="575" w:type="pct"/>
            <w:tcBorders>
              <w:top w:val="nil"/>
              <w:left w:val="nil"/>
              <w:bottom w:val="nil"/>
              <w:right w:val="nil"/>
            </w:tcBorders>
            <w:vAlign w:val="center"/>
          </w:tcPr>
          <w:p w14:paraId="1BEE7028" w14:textId="77777777" w:rsidR="00636BD8" w:rsidRPr="008A5E55" w:rsidRDefault="00636BD8" w:rsidP="00636BD8">
            <w:pPr>
              <w:rPr>
                <w:color w:val="000000" w:themeColor="text1"/>
              </w:rPr>
            </w:pPr>
            <w:r>
              <w:rPr>
                <w:color w:val="000000" w:themeColor="text1"/>
              </w:rPr>
              <w:t>(0.094)</w:t>
            </w:r>
          </w:p>
        </w:tc>
        <w:tc>
          <w:tcPr>
            <w:tcW w:w="576" w:type="pct"/>
            <w:tcBorders>
              <w:top w:val="nil"/>
              <w:left w:val="nil"/>
              <w:bottom w:val="nil"/>
              <w:right w:val="nil"/>
            </w:tcBorders>
            <w:vAlign w:val="center"/>
          </w:tcPr>
          <w:p w14:paraId="25517D95" w14:textId="77777777" w:rsidR="00636BD8" w:rsidRPr="008A5E55" w:rsidRDefault="00636BD8" w:rsidP="00636BD8">
            <w:pPr>
              <w:ind w:right="-132"/>
              <w:rPr>
                <w:color w:val="000000" w:themeColor="text1"/>
              </w:rPr>
            </w:pPr>
            <w:r w:rsidRPr="008A5E55">
              <w:rPr>
                <w:color w:val="000000" w:themeColor="text1"/>
              </w:rPr>
              <w:t>-0.</w:t>
            </w:r>
            <w:r>
              <w:rPr>
                <w:color w:val="000000" w:themeColor="text1"/>
              </w:rPr>
              <w:t>392</w:t>
            </w:r>
            <w:r w:rsidRPr="008A5E55">
              <w:rPr>
                <w:color w:val="000000" w:themeColor="text1"/>
              </w:rPr>
              <w:t>***</w:t>
            </w:r>
          </w:p>
        </w:tc>
        <w:tc>
          <w:tcPr>
            <w:tcW w:w="577" w:type="pct"/>
            <w:tcBorders>
              <w:top w:val="nil"/>
              <w:left w:val="nil"/>
              <w:bottom w:val="nil"/>
              <w:right w:val="nil"/>
            </w:tcBorders>
            <w:vAlign w:val="center"/>
          </w:tcPr>
          <w:p w14:paraId="424B88CF" w14:textId="77777777" w:rsidR="00636BD8" w:rsidRPr="008A5E55" w:rsidRDefault="00636BD8" w:rsidP="00636BD8">
            <w:pPr>
              <w:rPr>
                <w:color w:val="000000" w:themeColor="text1"/>
              </w:rPr>
            </w:pPr>
            <w:r w:rsidRPr="008A5E55">
              <w:rPr>
                <w:color w:val="000000" w:themeColor="text1"/>
              </w:rPr>
              <w:t>(0.0</w:t>
            </w:r>
            <w:r>
              <w:rPr>
                <w:color w:val="000000" w:themeColor="text1"/>
              </w:rPr>
              <w:t>83</w:t>
            </w:r>
            <w:r w:rsidRPr="008A5E55">
              <w:rPr>
                <w:color w:val="000000" w:themeColor="text1"/>
              </w:rPr>
              <w:t>)</w:t>
            </w:r>
          </w:p>
        </w:tc>
      </w:tr>
      <w:tr w:rsidR="00636BD8" w:rsidRPr="008A5E55" w14:paraId="640C55EA" w14:textId="77777777" w:rsidTr="00636BD8">
        <w:trPr>
          <w:gridAfter w:val="1"/>
          <w:wAfter w:w="520" w:type="pct"/>
          <w:cantSplit/>
          <w:jc w:val="center"/>
        </w:trPr>
        <w:tc>
          <w:tcPr>
            <w:tcW w:w="1012" w:type="pct"/>
            <w:tcBorders>
              <w:top w:val="nil"/>
              <w:left w:val="nil"/>
              <w:bottom w:val="nil"/>
              <w:right w:val="nil"/>
            </w:tcBorders>
            <w:vAlign w:val="center"/>
          </w:tcPr>
          <w:p w14:paraId="42AF0042" w14:textId="77777777" w:rsidR="00636BD8" w:rsidRPr="008A5E55" w:rsidRDefault="00636BD8" w:rsidP="00636BD8">
            <w:pPr>
              <w:ind w:right="-186"/>
              <w:rPr>
                <w:rFonts w:eastAsia="Times New Roman"/>
              </w:rPr>
            </w:pPr>
            <w:r w:rsidRPr="008A5E55">
              <w:rPr>
                <w:rFonts w:eastAsia="Times New Roman"/>
              </w:rPr>
              <w:t>External Alliances</w:t>
            </w:r>
            <w:r w:rsidRPr="008A5E55">
              <w:rPr>
                <w:rFonts w:eastAsia="Times New Roman"/>
                <w:vertAlign w:val="subscript"/>
              </w:rPr>
              <w:t xml:space="preserve"> t-1</w:t>
            </w:r>
          </w:p>
        </w:tc>
        <w:tc>
          <w:tcPr>
            <w:tcW w:w="579" w:type="pct"/>
            <w:tcBorders>
              <w:top w:val="nil"/>
              <w:left w:val="nil"/>
              <w:bottom w:val="nil"/>
              <w:right w:val="nil"/>
            </w:tcBorders>
            <w:vAlign w:val="center"/>
          </w:tcPr>
          <w:p w14:paraId="4EA9B81F" w14:textId="77777777" w:rsidR="00636BD8" w:rsidRPr="008A5E55" w:rsidRDefault="00636BD8" w:rsidP="00636BD8">
            <w:pPr>
              <w:rPr>
                <w:color w:val="000000" w:themeColor="text1"/>
              </w:rPr>
            </w:pPr>
            <w:r w:rsidRPr="008A5E55">
              <w:rPr>
                <w:color w:val="000000" w:themeColor="text1"/>
              </w:rPr>
              <w:t>0.1</w:t>
            </w:r>
            <w:r>
              <w:rPr>
                <w:color w:val="000000" w:themeColor="text1"/>
              </w:rPr>
              <w:t>44</w:t>
            </w:r>
            <w:r w:rsidRPr="008A5E55">
              <w:rPr>
                <w:color w:val="000000" w:themeColor="text1"/>
              </w:rPr>
              <w:t>**</w:t>
            </w:r>
          </w:p>
        </w:tc>
        <w:tc>
          <w:tcPr>
            <w:tcW w:w="580" w:type="pct"/>
            <w:tcBorders>
              <w:top w:val="nil"/>
              <w:left w:val="nil"/>
              <w:bottom w:val="nil"/>
              <w:right w:val="nil"/>
            </w:tcBorders>
            <w:vAlign w:val="center"/>
          </w:tcPr>
          <w:p w14:paraId="6009566D" w14:textId="77777777" w:rsidR="00636BD8" w:rsidRPr="008A5E55" w:rsidRDefault="00636BD8" w:rsidP="00636BD8">
            <w:pPr>
              <w:rPr>
                <w:color w:val="000000" w:themeColor="text1"/>
              </w:rPr>
            </w:pPr>
            <w:r w:rsidRPr="008A5E55">
              <w:rPr>
                <w:color w:val="000000" w:themeColor="text1"/>
              </w:rPr>
              <w:t>(0.04</w:t>
            </w:r>
            <w:r>
              <w:rPr>
                <w:color w:val="000000" w:themeColor="text1"/>
              </w:rPr>
              <w:t>6</w:t>
            </w:r>
            <w:r w:rsidRPr="008A5E55">
              <w:rPr>
                <w:color w:val="000000" w:themeColor="text1"/>
              </w:rPr>
              <w:t>)</w:t>
            </w:r>
          </w:p>
        </w:tc>
        <w:tc>
          <w:tcPr>
            <w:tcW w:w="581" w:type="pct"/>
            <w:tcBorders>
              <w:top w:val="nil"/>
              <w:left w:val="nil"/>
              <w:bottom w:val="nil"/>
              <w:right w:val="nil"/>
            </w:tcBorders>
            <w:vAlign w:val="center"/>
          </w:tcPr>
          <w:p w14:paraId="61457348" w14:textId="77777777" w:rsidR="00636BD8" w:rsidRPr="008A5E55" w:rsidRDefault="00636BD8" w:rsidP="00636BD8">
            <w:pPr>
              <w:ind w:right="-12"/>
              <w:rPr>
                <w:color w:val="000000" w:themeColor="text1"/>
              </w:rPr>
            </w:pPr>
            <w:r>
              <w:rPr>
                <w:color w:val="000000" w:themeColor="text1"/>
              </w:rPr>
              <w:t>0.097</w:t>
            </w:r>
          </w:p>
        </w:tc>
        <w:tc>
          <w:tcPr>
            <w:tcW w:w="575" w:type="pct"/>
            <w:tcBorders>
              <w:top w:val="nil"/>
              <w:left w:val="nil"/>
              <w:bottom w:val="nil"/>
              <w:right w:val="nil"/>
            </w:tcBorders>
            <w:vAlign w:val="center"/>
          </w:tcPr>
          <w:p w14:paraId="40646946" w14:textId="77777777" w:rsidR="00636BD8" w:rsidRPr="008A5E55" w:rsidRDefault="00636BD8" w:rsidP="00636BD8">
            <w:pPr>
              <w:rPr>
                <w:color w:val="000000" w:themeColor="text1"/>
              </w:rPr>
            </w:pPr>
            <w:r>
              <w:rPr>
                <w:color w:val="000000" w:themeColor="text1"/>
              </w:rPr>
              <w:t>(0.052)</w:t>
            </w:r>
          </w:p>
        </w:tc>
        <w:tc>
          <w:tcPr>
            <w:tcW w:w="576" w:type="pct"/>
            <w:tcBorders>
              <w:top w:val="nil"/>
              <w:left w:val="nil"/>
              <w:bottom w:val="nil"/>
              <w:right w:val="nil"/>
            </w:tcBorders>
            <w:vAlign w:val="center"/>
          </w:tcPr>
          <w:p w14:paraId="67276D48" w14:textId="77777777" w:rsidR="00636BD8" w:rsidRPr="008A5E55" w:rsidRDefault="00636BD8" w:rsidP="00636BD8">
            <w:pPr>
              <w:ind w:right="-132"/>
              <w:rPr>
                <w:color w:val="000000" w:themeColor="text1"/>
              </w:rPr>
            </w:pPr>
            <w:r w:rsidRPr="008A5E55">
              <w:rPr>
                <w:color w:val="000000" w:themeColor="text1"/>
              </w:rPr>
              <w:t>0.2</w:t>
            </w:r>
            <w:r>
              <w:rPr>
                <w:color w:val="000000" w:themeColor="text1"/>
              </w:rPr>
              <w:t>15</w:t>
            </w:r>
            <w:r w:rsidRPr="008A5E55">
              <w:rPr>
                <w:color w:val="000000" w:themeColor="text1"/>
              </w:rPr>
              <w:t>***</w:t>
            </w:r>
          </w:p>
        </w:tc>
        <w:tc>
          <w:tcPr>
            <w:tcW w:w="577" w:type="pct"/>
            <w:tcBorders>
              <w:top w:val="nil"/>
              <w:left w:val="nil"/>
              <w:bottom w:val="nil"/>
              <w:right w:val="nil"/>
            </w:tcBorders>
            <w:vAlign w:val="center"/>
          </w:tcPr>
          <w:p w14:paraId="6E984E9A" w14:textId="77777777" w:rsidR="00636BD8" w:rsidRPr="008A5E55" w:rsidRDefault="00636BD8" w:rsidP="00636BD8">
            <w:pPr>
              <w:rPr>
                <w:color w:val="000000" w:themeColor="text1"/>
              </w:rPr>
            </w:pPr>
            <w:r w:rsidRPr="008A5E55">
              <w:rPr>
                <w:color w:val="000000" w:themeColor="text1"/>
              </w:rPr>
              <w:t>(0.04</w:t>
            </w:r>
            <w:r>
              <w:rPr>
                <w:color w:val="000000" w:themeColor="text1"/>
              </w:rPr>
              <w:t>7</w:t>
            </w:r>
            <w:r w:rsidRPr="008A5E55">
              <w:rPr>
                <w:color w:val="000000" w:themeColor="text1"/>
              </w:rPr>
              <w:t>)</w:t>
            </w:r>
          </w:p>
        </w:tc>
      </w:tr>
      <w:tr w:rsidR="00636BD8" w:rsidRPr="008A5E55" w14:paraId="6DB4E5E8" w14:textId="77777777" w:rsidTr="00636BD8">
        <w:trPr>
          <w:gridAfter w:val="1"/>
          <w:wAfter w:w="520" w:type="pct"/>
          <w:cantSplit/>
          <w:jc w:val="center"/>
        </w:trPr>
        <w:tc>
          <w:tcPr>
            <w:tcW w:w="1012" w:type="pct"/>
            <w:tcBorders>
              <w:top w:val="nil"/>
              <w:left w:val="nil"/>
              <w:bottom w:val="nil"/>
              <w:right w:val="nil"/>
            </w:tcBorders>
            <w:vAlign w:val="center"/>
          </w:tcPr>
          <w:p w14:paraId="4848E878" w14:textId="77777777" w:rsidR="00636BD8" w:rsidRPr="008A5E55" w:rsidRDefault="00636BD8" w:rsidP="00636BD8">
            <w:pPr>
              <w:ind w:right="-186"/>
              <w:rPr>
                <w:rFonts w:eastAsia="Times New Roman"/>
              </w:rPr>
            </w:pPr>
            <w:r w:rsidRPr="008A5E55">
              <w:rPr>
                <w:rFonts w:eastAsia="Times New Roman"/>
              </w:rPr>
              <w:t>Cold War</w:t>
            </w:r>
          </w:p>
        </w:tc>
        <w:tc>
          <w:tcPr>
            <w:tcW w:w="579" w:type="pct"/>
            <w:tcBorders>
              <w:top w:val="nil"/>
              <w:left w:val="nil"/>
              <w:bottom w:val="nil"/>
              <w:right w:val="nil"/>
            </w:tcBorders>
            <w:vAlign w:val="center"/>
          </w:tcPr>
          <w:p w14:paraId="300B241A" w14:textId="77777777" w:rsidR="00636BD8" w:rsidRPr="008A5E55" w:rsidRDefault="00636BD8" w:rsidP="00636BD8">
            <w:pPr>
              <w:rPr>
                <w:color w:val="000000" w:themeColor="text1"/>
              </w:rPr>
            </w:pPr>
            <w:r w:rsidRPr="008A5E55">
              <w:rPr>
                <w:color w:val="000000" w:themeColor="text1"/>
              </w:rPr>
              <w:t>-0.</w:t>
            </w:r>
            <w:r>
              <w:rPr>
                <w:color w:val="000000" w:themeColor="text1"/>
              </w:rPr>
              <w:t>093</w:t>
            </w:r>
            <w:r w:rsidRPr="008A5E55">
              <w:rPr>
                <w:color w:val="000000" w:themeColor="text1"/>
              </w:rPr>
              <w:t>*</w:t>
            </w:r>
          </w:p>
        </w:tc>
        <w:tc>
          <w:tcPr>
            <w:tcW w:w="580" w:type="pct"/>
            <w:tcBorders>
              <w:top w:val="nil"/>
              <w:left w:val="nil"/>
              <w:bottom w:val="nil"/>
              <w:right w:val="nil"/>
            </w:tcBorders>
            <w:vAlign w:val="center"/>
          </w:tcPr>
          <w:p w14:paraId="3674D17D" w14:textId="77777777" w:rsidR="00636BD8" w:rsidRPr="008A5E55" w:rsidRDefault="00636BD8" w:rsidP="00636BD8">
            <w:pPr>
              <w:rPr>
                <w:color w:val="000000" w:themeColor="text1"/>
              </w:rPr>
            </w:pPr>
            <w:r w:rsidRPr="008A5E55">
              <w:rPr>
                <w:color w:val="000000" w:themeColor="text1"/>
              </w:rPr>
              <w:t>(0.038)</w:t>
            </w:r>
          </w:p>
        </w:tc>
        <w:tc>
          <w:tcPr>
            <w:tcW w:w="581" w:type="pct"/>
            <w:tcBorders>
              <w:top w:val="nil"/>
              <w:left w:val="nil"/>
              <w:bottom w:val="nil"/>
              <w:right w:val="nil"/>
            </w:tcBorders>
            <w:vAlign w:val="center"/>
          </w:tcPr>
          <w:p w14:paraId="3A956C4C" w14:textId="77777777" w:rsidR="00636BD8" w:rsidRPr="008A5E55" w:rsidRDefault="00636BD8" w:rsidP="00636BD8">
            <w:pPr>
              <w:ind w:right="-12"/>
              <w:rPr>
                <w:color w:val="000000" w:themeColor="text1"/>
              </w:rPr>
            </w:pPr>
            <w:r>
              <w:rPr>
                <w:color w:val="000000" w:themeColor="text1"/>
              </w:rPr>
              <w:t>-0.060</w:t>
            </w:r>
          </w:p>
        </w:tc>
        <w:tc>
          <w:tcPr>
            <w:tcW w:w="575" w:type="pct"/>
            <w:tcBorders>
              <w:top w:val="nil"/>
              <w:left w:val="nil"/>
              <w:bottom w:val="nil"/>
              <w:right w:val="nil"/>
            </w:tcBorders>
            <w:vAlign w:val="center"/>
          </w:tcPr>
          <w:p w14:paraId="116868D1" w14:textId="77777777" w:rsidR="00636BD8" w:rsidRPr="008A5E55" w:rsidRDefault="00636BD8" w:rsidP="00636BD8">
            <w:pPr>
              <w:rPr>
                <w:color w:val="000000" w:themeColor="text1"/>
              </w:rPr>
            </w:pPr>
            <w:r>
              <w:rPr>
                <w:color w:val="000000" w:themeColor="text1"/>
              </w:rPr>
              <w:t>(0.042)</w:t>
            </w:r>
          </w:p>
        </w:tc>
        <w:tc>
          <w:tcPr>
            <w:tcW w:w="576" w:type="pct"/>
            <w:tcBorders>
              <w:top w:val="nil"/>
              <w:left w:val="nil"/>
              <w:bottom w:val="nil"/>
              <w:right w:val="nil"/>
            </w:tcBorders>
            <w:vAlign w:val="center"/>
          </w:tcPr>
          <w:p w14:paraId="6D89DF28" w14:textId="77777777" w:rsidR="00636BD8" w:rsidRPr="008A5E55" w:rsidRDefault="00636BD8" w:rsidP="00636BD8">
            <w:pPr>
              <w:ind w:right="-132"/>
              <w:rPr>
                <w:color w:val="000000" w:themeColor="text1"/>
              </w:rPr>
            </w:pPr>
            <w:r w:rsidRPr="008A5E55">
              <w:rPr>
                <w:color w:val="000000" w:themeColor="text1"/>
              </w:rPr>
              <w:t>-0.1</w:t>
            </w:r>
            <w:r>
              <w:rPr>
                <w:color w:val="000000" w:themeColor="text1"/>
              </w:rPr>
              <w:t>26</w:t>
            </w:r>
            <w:r w:rsidRPr="008A5E55">
              <w:rPr>
                <w:color w:val="000000" w:themeColor="text1"/>
              </w:rPr>
              <w:t>***</w:t>
            </w:r>
          </w:p>
        </w:tc>
        <w:tc>
          <w:tcPr>
            <w:tcW w:w="577" w:type="pct"/>
            <w:tcBorders>
              <w:top w:val="nil"/>
              <w:left w:val="nil"/>
              <w:bottom w:val="nil"/>
              <w:right w:val="nil"/>
            </w:tcBorders>
            <w:vAlign w:val="center"/>
          </w:tcPr>
          <w:p w14:paraId="5D42FB70" w14:textId="77777777" w:rsidR="00636BD8" w:rsidRPr="008A5E55" w:rsidRDefault="00636BD8" w:rsidP="00636BD8">
            <w:pPr>
              <w:rPr>
                <w:color w:val="000000" w:themeColor="text1"/>
              </w:rPr>
            </w:pPr>
            <w:r w:rsidRPr="008A5E55">
              <w:rPr>
                <w:color w:val="000000" w:themeColor="text1"/>
              </w:rPr>
              <w:t>(0.046)</w:t>
            </w:r>
          </w:p>
        </w:tc>
      </w:tr>
      <w:tr w:rsidR="00636BD8" w:rsidRPr="008A5E55" w14:paraId="07591BA6" w14:textId="77777777" w:rsidTr="00636BD8">
        <w:trPr>
          <w:gridAfter w:val="1"/>
          <w:wAfter w:w="520" w:type="pct"/>
          <w:cantSplit/>
          <w:jc w:val="center"/>
        </w:trPr>
        <w:tc>
          <w:tcPr>
            <w:tcW w:w="1012" w:type="pct"/>
            <w:tcBorders>
              <w:top w:val="nil"/>
              <w:left w:val="nil"/>
              <w:bottom w:val="nil"/>
              <w:right w:val="nil"/>
            </w:tcBorders>
            <w:vAlign w:val="center"/>
          </w:tcPr>
          <w:p w14:paraId="4FE4D68A" w14:textId="77777777" w:rsidR="00636BD8" w:rsidRPr="008A5E55" w:rsidRDefault="00636BD8" w:rsidP="00636BD8">
            <w:pPr>
              <w:ind w:right="-186"/>
              <w:rPr>
                <w:rFonts w:eastAsia="Times New Roman"/>
              </w:rPr>
            </w:pPr>
            <w:r w:rsidRPr="008A5E55">
              <w:rPr>
                <w:rFonts w:eastAsia="Times New Roman"/>
              </w:rPr>
              <w:t>Time Counter</w:t>
            </w:r>
          </w:p>
        </w:tc>
        <w:tc>
          <w:tcPr>
            <w:tcW w:w="579" w:type="pct"/>
            <w:tcBorders>
              <w:top w:val="nil"/>
              <w:left w:val="nil"/>
              <w:bottom w:val="nil"/>
              <w:right w:val="nil"/>
            </w:tcBorders>
            <w:vAlign w:val="center"/>
          </w:tcPr>
          <w:p w14:paraId="19073D48" w14:textId="77777777" w:rsidR="00636BD8" w:rsidRPr="008A5E55" w:rsidRDefault="00636BD8" w:rsidP="00636BD8">
            <w:pPr>
              <w:rPr>
                <w:color w:val="000000" w:themeColor="text1"/>
              </w:rPr>
            </w:pPr>
            <w:r w:rsidRPr="008A5E55">
              <w:rPr>
                <w:color w:val="000000" w:themeColor="text1"/>
              </w:rPr>
              <w:t>-0.00</w:t>
            </w:r>
            <w:r>
              <w:rPr>
                <w:color w:val="000000" w:themeColor="text1"/>
              </w:rPr>
              <w:t>9</w:t>
            </w:r>
          </w:p>
        </w:tc>
        <w:tc>
          <w:tcPr>
            <w:tcW w:w="580" w:type="pct"/>
            <w:tcBorders>
              <w:top w:val="nil"/>
              <w:left w:val="nil"/>
              <w:bottom w:val="nil"/>
              <w:right w:val="nil"/>
            </w:tcBorders>
            <w:vAlign w:val="center"/>
          </w:tcPr>
          <w:p w14:paraId="45C6C221" w14:textId="77777777" w:rsidR="00636BD8" w:rsidRPr="008A5E55" w:rsidRDefault="00636BD8" w:rsidP="00636BD8">
            <w:pPr>
              <w:rPr>
                <w:color w:val="000000" w:themeColor="text1"/>
              </w:rPr>
            </w:pPr>
            <w:r w:rsidRPr="008A5E55">
              <w:rPr>
                <w:color w:val="000000" w:themeColor="text1"/>
              </w:rPr>
              <w:t>(0.006)</w:t>
            </w:r>
          </w:p>
        </w:tc>
        <w:tc>
          <w:tcPr>
            <w:tcW w:w="581" w:type="pct"/>
            <w:tcBorders>
              <w:top w:val="nil"/>
              <w:left w:val="nil"/>
              <w:bottom w:val="nil"/>
              <w:right w:val="nil"/>
            </w:tcBorders>
            <w:vAlign w:val="center"/>
          </w:tcPr>
          <w:p w14:paraId="7512570F" w14:textId="77777777" w:rsidR="00636BD8" w:rsidRPr="008A5E55" w:rsidRDefault="00636BD8" w:rsidP="00636BD8">
            <w:pPr>
              <w:ind w:right="-12"/>
              <w:rPr>
                <w:color w:val="000000" w:themeColor="text1"/>
              </w:rPr>
            </w:pPr>
            <w:r>
              <w:rPr>
                <w:color w:val="000000" w:themeColor="text1"/>
              </w:rPr>
              <w:t>-0.010</w:t>
            </w:r>
          </w:p>
        </w:tc>
        <w:tc>
          <w:tcPr>
            <w:tcW w:w="575" w:type="pct"/>
            <w:tcBorders>
              <w:top w:val="nil"/>
              <w:left w:val="nil"/>
              <w:bottom w:val="nil"/>
              <w:right w:val="nil"/>
            </w:tcBorders>
            <w:vAlign w:val="center"/>
          </w:tcPr>
          <w:p w14:paraId="5BA2C9F1" w14:textId="77777777" w:rsidR="00636BD8" w:rsidRPr="008A5E55" w:rsidRDefault="00636BD8" w:rsidP="00636BD8">
            <w:pPr>
              <w:rPr>
                <w:color w:val="000000" w:themeColor="text1"/>
              </w:rPr>
            </w:pPr>
            <w:r>
              <w:rPr>
                <w:color w:val="000000" w:themeColor="text1"/>
              </w:rPr>
              <w:t>(0.007)</w:t>
            </w:r>
          </w:p>
        </w:tc>
        <w:tc>
          <w:tcPr>
            <w:tcW w:w="576" w:type="pct"/>
            <w:tcBorders>
              <w:top w:val="nil"/>
              <w:left w:val="nil"/>
              <w:bottom w:val="nil"/>
              <w:right w:val="nil"/>
            </w:tcBorders>
            <w:vAlign w:val="center"/>
          </w:tcPr>
          <w:p w14:paraId="0F2A072F" w14:textId="77777777" w:rsidR="00636BD8" w:rsidRPr="008A5E55" w:rsidRDefault="00636BD8" w:rsidP="00636BD8">
            <w:pPr>
              <w:ind w:right="-132"/>
              <w:rPr>
                <w:color w:val="000000" w:themeColor="text1"/>
              </w:rPr>
            </w:pPr>
            <w:r w:rsidRPr="008A5E55">
              <w:rPr>
                <w:color w:val="000000" w:themeColor="text1"/>
              </w:rPr>
              <w:t>-0.</w:t>
            </w:r>
            <w:r>
              <w:rPr>
                <w:color w:val="000000" w:themeColor="text1"/>
              </w:rPr>
              <w:t>015</w:t>
            </w:r>
          </w:p>
        </w:tc>
        <w:tc>
          <w:tcPr>
            <w:tcW w:w="577" w:type="pct"/>
            <w:tcBorders>
              <w:top w:val="nil"/>
              <w:left w:val="nil"/>
              <w:bottom w:val="nil"/>
              <w:right w:val="nil"/>
            </w:tcBorders>
            <w:vAlign w:val="center"/>
          </w:tcPr>
          <w:p w14:paraId="5A624760" w14:textId="77777777" w:rsidR="00636BD8" w:rsidRPr="008A5E55" w:rsidRDefault="00636BD8" w:rsidP="00636BD8">
            <w:pPr>
              <w:rPr>
                <w:color w:val="000000" w:themeColor="text1"/>
              </w:rPr>
            </w:pPr>
            <w:r w:rsidRPr="008A5E55">
              <w:rPr>
                <w:color w:val="000000" w:themeColor="text1"/>
              </w:rPr>
              <w:t>(0.008)</w:t>
            </w:r>
          </w:p>
        </w:tc>
      </w:tr>
      <w:tr w:rsidR="00636BD8" w:rsidRPr="008A5E55" w14:paraId="49D18431" w14:textId="77777777" w:rsidTr="00636BD8">
        <w:trPr>
          <w:gridAfter w:val="1"/>
          <w:wAfter w:w="520" w:type="pct"/>
          <w:cantSplit/>
          <w:jc w:val="center"/>
        </w:trPr>
        <w:tc>
          <w:tcPr>
            <w:tcW w:w="1012" w:type="pct"/>
            <w:tcBorders>
              <w:top w:val="nil"/>
              <w:left w:val="nil"/>
              <w:bottom w:val="single" w:sz="4" w:space="0" w:color="auto"/>
              <w:right w:val="nil"/>
            </w:tcBorders>
            <w:vAlign w:val="center"/>
          </w:tcPr>
          <w:p w14:paraId="008666C1" w14:textId="77777777" w:rsidR="00636BD8" w:rsidRPr="008A5E55" w:rsidRDefault="00636BD8" w:rsidP="00636BD8">
            <w:pPr>
              <w:ind w:right="-186"/>
              <w:rPr>
                <w:rFonts w:eastAsia="Times New Roman"/>
              </w:rPr>
            </w:pPr>
            <w:r w:rsidRPr="008A5E55">
              <w:rPr>
                <w:rFonts w:eastAsia="Times New Roman"/>
              </w:rPr>
              <w:t>Constant</w:t>
            </w:r>
          </w:p>
        </w:tc>
        <w:tc>
          <w:tcPr>
            <w:tcW w:w="579" w:type="pct"/>
            <w:tcBorders>
              <w:top w:val="nil"/>
              <w:left w:val="nil"/>
              <w:bottom w:val="single" w:sz="4" w:space="0" w:color="auto"/>
              <w:right w:val="nil"/>
            </w:tcBorders>
            <w:vAlign w:val="center"/>
          </w:tcPr>
          <w:p w14:paraId="3F20BD79" w14:textId="77777777" w:rsidR="00636BD8" w:rsidRPr="008A5E55" w:rsidRDefault="00636BD8" w:rsidP="00636BD8">
            <w:pPr>
              <w:rPr>
                <w:color w:val="000000" w:themeColor="text1"/>
              </w:rPr>
            </w:pPr>
            <w:r w:rsidRPr="008A5E55">
              <w:rPr>
                <w:color w:val="000000" w:themeColor="text1"/>
              </w:rPr>
              <w:t>0.</w:t>
            </w:r>
            <w:r>
              <w:rPr>
                <w:color w:val="000000" w:themeColor="text1"/>
              </w:rPr>
              <w:t>406</w:t>
            </w:r>
            <w:r w:rsidRPr="008A5E55">
              <w:rPr>
                <w:color w:val="000000" w:themeColor="text1"/>
              </w:rPr>
              <w:t>***</w:t>
            </w:r>
          </w:p>
        </w:tc>
        <w:tc>
          <w:tcPr>
            <w:tcW w:w="580" w:type="pct"/>
            <w:tcBorders>
              <w:top w:val="nil"/>
              <w:left w:val="nil"/>
              <w:bottom w:val="single" w:sz="4" w:space="0" w:color="auto"/>
              <w:right w:val="nil"/>
            </w:tcBorders>
            <w:vAlign w:val="center"/>
          </w:tcPr>
          <w:p w14:paraId="6611B01C" w14:textId="77777777" w:rsidR="00636BD8" w:rsidRPr="008A5E55" w:rsidRDefault="00636BD8" w:rsidP="00636BD8">
            <w:pPr>
              <w:rPr>
                <w:color w:val="000000" w:themeColor="text1"/>
              </w:rPr>
            </w:pPr>
            <w:r w:rsidRPr="008A5E55">
              <w:rPr>
                <w:color w:val="000000" w:themeColor="text1"/>
              </w:rPr>
              <w:t>(0.072)</w:t>
            </w:r>
          </w:p>
        </w:tc>
        <w:tc>
          <w:tcPr>
            <w:tcW w:w="581" w:type="pct"/>
            <w:tcBorders>
              <w:top w:val="nil"/>
              <w:left w:val="nil"/>
              <w:bottom w:val="single" w:sz="4" w:space="0" w:color="auto"/>
              <w:right w:val="nil"/>
            </w:tcBorders>
            <w:vAlign w:val="center"/>
          </w:tcPr>
          <w:p w14:paraId="4F9E0FB7" w14:textId="77777777" w:rsidR="00636BD8" w:rsidRPr="008A5E55" w:rsidRDefault="00636BD8" w:rsidP="00636BD8">
            <w:pPr>
              <w:ind w:right="-12"/>
              <w:rPr>
                <w:color w:val="000000" w:themeColor="text1"/>
              </w:rPr>
            </w:pPr>
            <w:r>
              <w:rPr>
                <w:color w:val="000000" w:themeColor="text1"/>
              </w:rPr>
              <w:t>0.327***</w:t>
            </w:r>
          </w:p>
        </w:tc>
        <w:tc>
          <w:tcPr>
            <w:tcW w:w="575" w:type="pct"/>
            <w:tcBorders>
              <w:top w:val="nil"/>
              <w:left w:val="nil"/>
              <w:bottom w:val="single" w:sz="4" w:space="0" w:color="auto"/>
              <w:right w:val="nil"/>
            </w:tcBorders>
            <w:vAlign w:val="center"/>
          </w:tcPr>
          <w:p w14:paraId="7DCDCEBF" w14:textId="77777777" w:rsidR="00636BD8" w:rsidRPr="008A5E55" w:rsidRDefault="00636BD8" w:rsidP="00636BD8">
            <w:pPr>
              <w:rPr>
                <w:color w:val="000000" w:themeColor="text1"/>
              </w:rPr>
            </w:pPr>
            <w:r>
              <w:rPr>
                <w:color w:val="000000" w:themeColor="text1"/>
              </w:rPr>
              <w:t>(0.080)</w:t>
            </w:r>
          </w:p>
        </w:tc>
        <w:tc>
          <w:tcPr>
            <w:tcW w:w="576" w:type="pct"/>
            <w:tcBorders>
              <w:top w:val="nil"/>
              <w:left w:val="nil"/>
              <w:bottom w:val="single" w:sz="4" w:space="0" w:color="auto"/>
              <w:right w:val="nil"/>
            </w:tcBorders>
            <w:vAlign w:val="center"/>
          </w:tcPr>
          <w:p w14:paraId="5B816B79" w14:textId="77777777" w:rsidR="00636BD8" w:rsidRPr="008A5E55" w:rsidRDefault="00636BD8" w:rsidP="00636BD8">
            <w:pPr>
              <w:ind w:right="-132"/>
              <w:rPr>
                <w:color w:val="000000" w:themeColor="text1"/>
              </w:rPr>
            </w:pPr>
            <w:r w:rsidRPr="008A5E55">
              <w:rPr>
                <w:color w:val="000000" w:themeColor="text1"/>
              </w:rPr>
              <w:t>0.2</w:t>
            </w:r>
            <w:r>
              <w:rPr>
                <w:color w:val="000000" w:themeColor="text1"/>
              </w:rPr>
              <w:t>88</w:t>
            </w:r>
            <w:r w:rsidRPr="008A5E55">
              <w:rPr>
                <w:color w:val="000000" w:themeColor="text1"/>
              </w:rPr>
              <w:t>***</w:t>
            </w:r>
          </w:p>
        </w:tc>
        <w:tc>
          <w:tcPr>
            <w:tcW w:w="577" w:type="pct"/>
            <w:tcBorders>
              <w:top w:val="nil"/>
              <w:left w:val="nil"/>
              <w:bottom w:val="single" w:sz="4" w:space="0" w:color="auto"/>
              <w:right w:val="nil"/>
            </w:tcBorders>
            <w:vAlign w:val="center"/>
          </w:tcPr>
          <w:p w14:paraId="0F04E4FD" w14:textId="77777777" w:rsidR="00636BD8" w:rsidRPr="008A5E55" w:rsidRDefault="00636BD8" w:rsidP="00636BD8">
            <w:pPr>
              <w:rPr>
                <w:color w:val="000000" w:themeColor="text1"/>
              </w:rPr>
            </w:pPr>
            <w:r w:rsidRPr="008A5E55">
              <w:rPr>
                <w:color w:val="000000" w:themeColor="text1"/>
              </w:rPr>
              <w:t>(0.07</w:t>
            </w:r>
            <w:r>
              <w:rPr>
                <w:color w:val="000000" w:themeColor="text1"/>
              </w:rPr>
              <w:t>8</w:t>
            </w:r>
            <w:r w:rsidRPr="008A5E55">
              <w:rPr>
                <w:color w:val="000000" w:themeColor="text1"/>
              </w:rPr>
              <w:t>)</w:t>
            </w:r>
          </w:p>
        </w:tc>
      </w:tr>
      <w:tr w:rsidR="00636BD8" w:rsidRPr="008A5E55" w14:paraId="5DEEEAF1" w14:textId="77777777" w:rsidTr="00636BD8">
        <w:trPr>
          <w:gridAfter w:val="1"/>
          <w:wAfter w:w="520" w:type="pct"/>
          <w:cantSplit/>
          <w:jc w:val="center"/>
        </w:trPr>
        <w:tc>
          <w:tcPr>
            <w:tcW w:w="1012" w:type="pct"/>
            <w:tcBorders>
              <w:top w:val="single" w:sz="4" w:space="0" w:color="auto"/>
              <w:left w:val="nil"/>
              <w:bottom w:val="nil"/>
              <w:right w:val="nil"/>
            </w:tcBorders>
            <w:vAlign w:val="center"/>
          </w:tcPr>
          <w:p w14:paraId="05C9342E" w14:textId="77777777" w:rsidR="00636BD8" w:rsidRPr="008A5E55" w:rsidRDefault="00636BD8" w:rsidP="00636BD8">
            <w:pPr>
              <w:rPr>
                <w:rFonts w:eastAsia="Times New Roman"/>
              </w:rPr>
            </w:pPr>
            <w:r w:rsidRPr="008A5E55">
              <w:rPr>
                <w:rFonts w:eastAsia="Times New Roman"/>
              </w:rPr>
              <w:t>Observations</w:t>
            </w:r>
          </w:p>
        </w:tc>
        <w:tc>
          <w:tcPr>
            <w:tcW w:w="579" w:type="pct"/>
            <w:tcBorders>
              <w:top w:val="single" w:sz="4" w:space="0" w:color="auto"/>
              <w:left w:val="nil"/>
              <w:bottom w:val="nil"/>
              <w:right w:val="nil"/>
            </w:tcBorders>
          </w:tcPr>
          <w:p w14:paraId="12E37D2A" w14:textId="77777777" w:rsidR="00636BD8" w:rsidRPr="008A5E55" w:rsidRDefault="00636BD8" w:rsidP="00636BD8">
            <w:pPr>
              <w:jc w:val="center"/>
              <w:rPr>
                <w:color w:val="000000" w:themeColor="text1"/>
              </w:rPr>
            </w:pPr>
            <w:r w:rsidRPr="008A5E55">
              <w:rPr>
                <w:color w:val="000000" w:themeColor="text1"/>
              </w:rPr>
              <w:t>36</w:t>
            </w:r>
            <w:r>
              <w:rPr>
                <w:color w:val="000000" w:themeColor="text1"/>
              </w:rPr>
              <w:t>6</w:t>
            </w:r>
          </w:p>
        </w:tc>
        <w:tc>
          <w:tcPr>
            <w:tcW w:w="580" w:type="pct"/>
            <w:tcBorders>
              <w:top w:val="single" w:sz="4" w:space="0" w:color="auto"/>
              <w:left w:val="nil"/>
              <w:bottom w:val="nil"/>
              <w:right w:val="nil"/>
            </w:tcBorders>
          </w:tcPr>
          <w:p w14:paraId="3C456D6E" w14:textId="77777777" w:rsidR="00636BD8" w:rsidRPr="008A5E55" w:rsidRDefault="00636BD8" w:rsidP="00636BD8">
            <w:pPr>
              <w:jc w:val="center"/>
              <w:rPr>
                <w:color w:val="000000" w:themeColor="text1"/>
              </w:rPr>
            </w:pPr>
          </w:p>
        </w:tc>
        <w:tc>
          <w:tcPr>
            <w:tcW w:w="581" w:type="pct"/>
            <w:tcBorders>
              <w:top w:val="single" w:sz="4" w:space="0" w:color="auto"/>
              <w:left w:val="nil"/>
              <w:bottom w:val="nil"/>
              <w:right w:val="nil"/>
            </w:tcBorders>
          </w:tcPr>
          <w:p w14:paraId="4E83DF24" w14:textId="77777777" w:rsidR="00636BD8" w:rsidRPr="008A5E55" w:rsidRDefault="00636BD8" w:rsidP="00636BD8">
            <w:pPr>
              <w:jc w:val="center"/>
              <w:rPr>
                <w:color w:val="000000" w:themeColor="text1"/>
              </w:rPr>
            </w:pPr>
            <w:r>
              <w:rPr>
                <w:color w:val="000000" w:themeColor="text1"/>
              </w:rPr>
              <w:t>261</w:t>
            </w:r>
          </w:p>
        </w:tc>
        <w:tc>
          <w:tcPr>
            <w:tcW w:w="575" w:type="pct"/>
            <w:tcBorders>
              <w:top w:val="single" w:sz="4" w:space="0" w:color="auto"/>
              <w:left w:val="nil"/>
              <w:bottom w:val="nil"/>
              <w:right w:val="nil"/>
            </w:tcBorders>
          </w:tcPr>
          <w:p w14:paraId="34143B2D" w14:textId="77777777" w:rsidR="00636BD8" w:rsidRPr="008A5E55" w:rsidRDefault="00636BD8" w:rsidP="00636BD8">
            <w:pPr>
              <w:jc w:val="center"/>
              <w:rPr>
                <w:color w:val="000000" w:themeColor="text1"/>
              </w:rPr>
            </w:pPr>
          </w:p>
        </w:tc>
        <w:tc>
          <w:tcPr>
            <w:tcW w:w="576" w:type="pct"/>
            <w:tcBorders>
              <w:top w:val="single" w:sz="4" w:space="0" w:color="auto"/>
              <w:left w:val="nil"/>
              <w:bottom w:val="nil"/>
              <w:right w:val="nil"/>
            </w:tcBorders>
          </w:tcPr>
          <w:p w14:paraId="072EF1B0" w14:textId="77777777" w:rsidR="00636BD8" w:rsidRPr="008A5E55" w:rsidRDefault="00636BD8" w:rsidP="00636BD8">
            <w:pPr>
              <w:jc w:val="center"/>
              <w:rPr>
                <w:color w:val="000000" w:themeColor="text1"/>
              </w:rPr>
            </w:pPr>
            <w:r w:rsidRPr="008A5E55">
              <w:rPr>
                <w:color w:val="000000" w:themeColor="text1"/>
              </w:rPr>
              <w:t>2</w:t>
            </w:r>
            <w:r>
              <w:rPr>
                <w:color w:val="000000" w:themeColor="text1"/>
              </w:rPr>
              <w:t>67</w:t>
            </w:r>
          </w:p>
        </w:tc>
        <w:tc>
          <w:tcPr>
            <w:tcW w:w="577" w:type="pct"/>
            <w:tcBorders>
              <w:top w:val="single" w:sz="4" w:space="0" w:color="auto"/>
              <w:left w:val="nil"/>
              <w:bottom w:val="nil"/>
              <w:right w:val="nil"/>
            </w:tcBorders>
          </w:tcPr>
          <w:p w14:paraId="2EFA933A" w14:textId="77777777" w:rsidR="00636BD8" w:rsidRPr="008A5E55" w:rsidRDefault="00636BD8" w:rsidP="00636BD8">
            <w:pPr>
              <w:jc w:val="center"/>
              <w:rPr>
                <w:color w:val="000000" w:themeColor="text1"/>
              </w:rPr>
            </w:pPr>
          </w:p>
        </w:tc>
      </w:tr>
      <w:tr w:rsidR="00636BD8" w:rsidRPr="008A5E55" w14:paraId="1E9C2C56" w14:textId="77777777" w:rsidTr="00636BD8">
        <w:trPr>
          <w:gridAfter w:val="1"/>
          <w:wAfter w:w="520" w:type="pct"/>
          <w:cantSplit/>
          <w:jc w:val="center"/>
        </w:trPr>
        <w:tc>
          <w:tcPr>
            <w:tcW w:w="1012" w:type="pct"/>
            <w:tcBorders>
              <w:top w:val="nil"/>
              <w:left w:val="nil"/>
              <w:bottom w:val="nil"/>
              <w:right w:val="nil"/>
            </w:tcBorders>
            <w:vAlign w:val="center"/>
          </w:tcPr>
          <w:p w14:paraId="31B7F558" w14:textId="77777777" w:rsidR="00636BD8" w:rsidRPr="008A5E55" w:rsidRDefault="00636BD8" w:rsidP="00636BD8">
            <w:pPr>
              <w:rPr>
                <w:rFonts w:eastAsia="Times New Roman"/>
              </w:rPr>
            </w:pPr>
            <w:r w:rsidRPr="008A5E55">
              <w:rPr>
                <w:rFonts w:eastAsia="Times New Roman"/>
              </w:rPr>
              <w:t>Adjusted R</w:t>
            </w:r>
            <w:r w:rsidRPr="008A5E55">
              <w:rPr>
                <w:rFonts w:eastAsia="Times New Roman"/>
                <w:vertAlign w:val="superscript"/>
              </w:rPr>
              <w:t>2</w:t>
            </w:r>
          </w:p>
        </w:tc>
        <w:tc>
          <w:tcPr>
            <w:tcW w:w="579" w:type="pct"/>
            <w:tcBorders>
              <w:top w:val="nil"/>
              <w:left w:val="nil"/>
              <w:bottom w:val="nil"/>
              <w:right w:val="nil"/>
            </w:tcBorders>
          </w:tcPr>
          <w:p w14:paraId="794C09FB" w14:textId="77777777" w:rsidR="00636BD8" w:rsidRPr="008A5E55" w:rsidRDefault="00636BD8" w:rsidP="00636BD8">
            <w:pPr>
              <w:jc w:val="center"/>
            </w:pPr>
            <w:r w:rsidRPr="008A5E55">
              <w:t>0.3</w:t>
            </w:r>
            <w:r>
              <w:t>78</w:t>
            </w:r>
          </w:p>
        </w:tc>
        <w:tc>
          <w:tcPr>
            <w:tcW w:w="580" w:type="pct"/>
            <w:tcBorders>
              <w:top w:val="nil"/>
              <w:left w:val="nil"/>
              <w:bottom w:val="nil"/>
              <w:right w:val="nil"/>
            </w:tcBorders>
          </w:tcPr>
          <w:p w14:paraId="7527DA4A" w14:textId="77777777" w:rsidR="00636BD8" w:rsidRPr="008A5E55" w:rsidRDefault="00636BD8" w:rsidP="00636BD8">
            <w:pPr>
              <w:jc w:val="center"/>
            </w:pPr>
          </w:p>
        </w:tc>
        <w:tc>
          <w:tcPr>
            <w:tcW w:w="581" w:type="pct"/>
            <w:tcBorders>
              <w:top w:val="nil"/>
              <w:left w:val="nil"/>
              <w:bottom w:val="nil"/>
              <w:right w:val="nil"/>
            </w:tcBorders>
          </w:tcPr>
          <w:p w14:paraId="14EE4FAF" w14:textId="77777777" w:rsidR="00636BD8" w:rsidRPr="008A5E55" w:rsidRDefault="00636BD8" w:rsidP="00636BD8">
            <w:pPr>
              <w:jc w:val="center"/>
            </w:pPr>
            <w:r>
              <w:t>0.455</w:t>
            </w:r>
          </w:p>
        </w:tc>
        <w:tc>
          <w:tcPr>
            <w:tcW w:w="575" w:type="pct"/>
            <w:tcBorders>
              <w:top w:val="nil"/>
              <w:left w:val="nil"/>
              <w:bottom w:val="nil"/>
              <w:right w:val="nil"/>
            </w:tcBorders>
          </w:tcPr>
          <w:p w14:paraId="1573975C" w14:textId="77777777" w:rsidR="00636BD8" w:rsidRPr="008A5E55" w:rsidRDefault="00636BD8" w:rsidP="00636BD8">
            <w:pPr>
              <w:jc w:val="center"/>
            </w:pPr>
          </w:p>
        </w:tc>
        <w:tc>
          <w:tcPr>
            <w:tcW w:w="576" w:type="pct"/>
            <w:tcBorders>
              <w:top w:val="nil"/>
              <w:left w:val="nil"/>
              <w:bottom w:val="nil"/>
              <w:right w:val="nil"/>
            </w:tcBorders>
          </w:tcPr>
          <w:p w14:paraId="0E827366" w14:textId="77777777" w:rsidR="00636BD8" w:rsidRPr="008A5E55" w:rsidRDefault="00636BD8" w:rsidP="00636BD8">
            <w:pPr>
              <w:jc w:val="center"/>
            </w:pPr>
            <w:r w:rsidRPr="008A5E55">
              <w:t>0.46</w:t>
            </w:r>
            <w:r>
              <w:t>5</w:t>
            </w:r>
          </w:p>
        </w:tc>
        <w:tc>
          <w:tcPr>
            <w:tcW w:w="577" w:type="pct"/>
            <w:tcBorders>
              <w:top w:val="nil"/>
              <w:left w:val="nil"/>
              <w:bottom w:val="nil"/>
              <w:right w:val="nil"/>
            </w:tcBorders>
          </w:tcPr>
          <w:p w14:paraId="3D91D4C4" w14:textId="77777777" w:rsidR="00636BD8" w:rsidRPr="008A5E55" w:rsidRDefault="00636BD8" w:rsidP="00636BD8">
            <w:pPr>
              <w:jc w:val="center"/>
            </w:pPr>
          </w:p>
        </w:tc>
      </w:tr>
      <w:tr w:rsidR="00636BD8" w:rsidRPr="008A5E55" w14:paraId="56B5436D" w14:textId="77777777" w:rsidTr="00636BD8">
        <w:trPr>
          <w:gridAfter w:val="1"/>
          <w:wAfter w:w="520" w:type="pct"/>
          <w:cantSplit/>
          <w:jc w:val="center"/>
        </w:trPr>
        <w:tc>
          <w:tcPr>
            <w:tcW w:w="1012" w:type="pct"/>
            <w:tcBorders>
              <w:top w:val="nil"/>
              <w:left w:val="nil"/>
              <w:bottom w:val="nil"/>
              <w:right w:val="nil"/>
            </w:tcBorders>
            <w:vAlign w:val="center"/>
          </w:tcPr>
          <w:p w14:paraId="685D9D81" w14:textId="77777777" w:rsidR="00636BD8" w:rsidRPr="008A5E55" w:rsidRDefault="00636BD8" w:rsidP="00636BD8">
            <w:pPr>
              <w:rPr>
                <w:rFonts w:eastAsia="Times New Roman"/>
              </w:rPr>
            </w:pPr>
            <w:r w:rsidRPr="008A5E55">
              <w:rPr>
                <w:rFonts w:eastAsia="Times New Roman"/>
              </w:rPr>
              <w:t>AIC</w:t>
            </w:r>
          </w:p>
        </w:tc>
        <w:tc>
          <w:tcPr>
            <w:tcW w:w="579" w:type="pct"/>
            <w:tcBorders>
              <w:top w:val="nil"/>
              <w:left w:val="nil"/>
              <w:bottom w:val="nil"/>
              <w:right w:val="nil"/>
            </w:tcBorders>
          </w:tcPr>
          <w:p w14:paraId="6A705BE4" w14:textId="77777777" w:rsidR="00636BD8" w:rsidRPr="008A5E55" w:rsidRDefault="00636BD8" w:rsidP="00636BD8">
            <w:pPr>
              <w:jc w:val="center"/>
            </w:pPr>
            <w:r>
              <w:t>221.6</w:t>
            </w:r>
          </w:p>
        </w:tc>
        <w:tc>
          <w:tcPr>
            <w:tcW w:w="580" w:type="pct"/>
            <w:tcBorders>
              <w:top w:val="nil"/>
              <w:left w:val="nil"/>
              <w:bottom w:val="nil"/>
              <w:right w:val="nil"/>
            </w:tcBorders>
          </w:tcPr>
          <w:p w14:paraId="73822798" w14:textId="77777777" w:rsidR="00636BD8" w:rsidRPr="008A5E55" w:rsidRDefault="00636BD8" w:rsidP="00636BD8">
            <w:pPr>
              <w:jc w:val="center"/>
            </w:pPr>
          </w:p>
        </w:tc>
        <w:tc>
          <w:tcPr>
            <w:tcW w:w="581" w:type="pct"/>
            <w:tcBorders>
              <w:top w:val="nil"/>
              <w:left w:val="nil"/>
              <w:bottom w:val="nil"/>
              <w:right w:val="nil"/>
            </w:tcBorders>
          </w:tcPr>
          <w:p w14:paraId="6335F664" w14:textId="77777777" w:rsidR="00636BD8" w:rsidRPr="008A5E55" w:rsidRDefault="00636BD8" w:rsidP="00636BD8">
            <w:pPr>
              <w:jc w:val="center"/>
            </w:pPr>
            <w:r>
              <w:t>119.1</w:t>
            </w:r>
          </w:p>
        </w:tc>
        <w:tc>
          <w:tcPr>
            <w:tcW w:w="575" w:type="pct"/>
            <w:tcBorders>
              <w:top w:val="nil"/>
              <w:left w:val="nil"/>
              <w:bottom w:val="nil"/>
              <w:right w:val="nil"/>
            </w:tcBorders>
          </w:tcPr>
          <w:p w14:paraId="283A440E" w14:textId="77777777" w:rsidR="00636BD8" w:rsidRPr="008A5E55" w:rsidRDefault="00636BD8" w:rsidP="00636BD8">
            <w:pPr>
              <w:jc w:val="center"/>
            </w:pPr>
          </w:p>
        </w:tc>
        <w:tc>
          <w:tcPr>
            <w:tcW w:w="576" w:type="pct"/>
            <w:tcBorders>
              <w:top w:val="nil"/>
              <w:left w:val="nil"/>
              <w:bottom w:val="nil"/>
              <w:right w:val="nil"/>
            </w:tcBorders>
          </w:tcPr>
          <w:p w14:paraId="5E518BE0" w14:textId="77777777" w:rsidR="00636BD8" w:rsidRPr="008A5E55" w:rsidRDefault="00636BD8" w:rsidP="00636BD8">
            <w:pPr>
              <w:jc w:val="center"/>
            </w:pPr>
            <w:r w:rsidRPr="008A5E55">
              <w:t>1</w:t>
            </w:r>
            <w:r>
              <w:t>74.2</w:t>
            </w:r>
          </w:p>
        </w:tc>
        <w:tc>
          <w:tcPr>
            <w:tcW w:w="577" w:type="pct"/>
            <w:tcBorders>
              <w:top w:val="nil"/>
              <w:left w:val="nil"/>
              <w:bottom w:val="nil"/>
              <w:right w:val="nil"/>
            </w:tcBorders>
          </w:tcPr>
          <w:p w14:paraId="796FF274" w14:textId="77777777" w:rsidR="00636BD8" w:rsidRPr="008A5E55" w:rsidRDefault="00636BD8" w:rsidP="00636BD8">
            <w:pPr>
              <w:jc w:val="center"/>
            </w:pPr>
          </w:p>
        </w:tc>
      </w:tr>
      <w:tr w:rsidR="00636BD8" w:rsidRPr="008A5E55" w14:paraId="40C57C1C" w14:textId="77777777" w:rsidTr="00636BD8">
        <w:trPr>
          <w:gridAfter w:val="1"/>
          <w:wAfter w:w="520" w:type="pct"/>
          <w:cantSplit/>
          <w:jc w:val="center"/>
        </w:trPr>
        <w:tc>
          <w:tcPr>
            <w:tcW w:w="1012" w:type="pct"/>
            <w:tcBorders>
              <w:top w:val="nil"/>
              <w:left w:val="nil"/>
              <w:bottom w:val="single" w:sz="4" w:space="0" w:color="auto"/>
              <w:right w:val="nil"/>
            </w:tcBorders>
            <w:vAlign w:val="center"/>
          </w:tcPr>
          <w:p w14:paraId="02E88D09" w14:textId="77777777" w:rsidR="00636BD8" w:rsidRPr="008A5E55" w:rsidRDefault="00636BD8" w:rsidP="00636BD8">
            <w:pPr>
              <w:rPr>
                <w:rFonts w:eastAsia="Times New Roman"/>
              </w:rPr>
            </w:pPr>
            <w:r w:rsidRPr="008A5E55">
              <w:rPr>
                <w:rFonts w:eastAsia="Times New Roman"/>
              </w:rPr>
              <w:t>BIC</w:t>
            </w:r>
          </w:p>
        </w:tc>
        <w:tc>
          <w:tcPr>
            <w:tcW w:w="579" w:type="pct"/>
            <w:tcBorders>
              <w:top w:val="nil"/>
              <w:left w:val="nil"/>
              <w:bottom w:val="single" w:sz="4" w:space="0" w:color="auto"/>
              <w:right w:val="nil"/>
            </w:tcBorders>
          </w:tcPr>
          <w:p w14:paraId="2E773CFB" w14:textId="77777777" w:rsidR="00636BD8" w:rsidRPr="008A5E55" w:rsidRDefault="00636BD8" w:rsidP="00636BD8">
            <w:pPr>
              <w:jc w:val="center"/>
            </w:pPr>
            <w:r>
              <w:t>260.6</w:t>
            </w:r>
          </w:p>
        </w:tc>
        <w:tc>
          <w:tcPr>
            <w:tcW w:w="580" w:type="pct"/>
            <w:tcBorders>
              <w:top w:val="nil"/>
              <w:left w:val="nil"/>
              <w:bottom w:val="single" w:sz="4" w:space="0" w:color="auto"/>
              <w:right w:val="nil"/>
            </w:tcBorders>
          </w:tcPr>
          <w:p w14:paraId="2F6B3132" w14:textId="77777777" w:rsidR="00636BD8" w:rsidRPr="008A5E55" w:rsidRDefault="00636BD8" w:rsidP="00636BD8">
            <w:pPr>
              <w:jc w:val="center"/>
            </w:pPr>
          </w:p>
        </w:tc>
        <w:tc>
          <w:tcPr>
            <w:tcW w:w="581" w:type="pct"/>
            <w:tcBorders>
              <w:top w:val="nil"/>
              <w:left w:val="nil"/>
              <w:bottom w:val="single" w:sz="4" w:space="0" w:color="auto"/>
              <w:right w:val="nil"/>
            </w:tcBorders>
          </w:tcPr>
          <w:p w14:paraId="3E4B04A2" w14:textId="77777777" w:rsidR="00636BD8" w:rsidRPr="008A5E55" w:rsidRDefault="00636BD8" w:rsidP="00636BD8">
            <w:pPr>
              <w:jc w:val="center"/>
            </w:pPr>
            <w:r>
              <w:t>154.7</w:t>
            </w:r>
          </w:p>
        </w:tc>
        <w:tc>
          <w:tcPr>
            <w:tcW w:w="575" w:type="pct"/>
            <w:tcBorders>
              <w:top w:val="nil"/>
              <w:left w:val="nil"/>
              <w:bottom w:val="single" w:sz="4" w:space="0" w:color="auto"/>
              <w:right w:val="nil"/>
            </w:tcBorders>
          </w:tcPr>
          <w:p w14:paraId="5EFDA0E7" w14:textId="77777777" w:rsidR="00636BD8" w:rsidRPr="008A5E55" w:rsidRDefault="00636BD8" w:rsidP="00636BD8">
            <w:pPr>
              <w:jc w:val="center"/>
            </w:pPr>
          </w:p>
        </w:tc>
        <w:tc>
          <w:tcPr>
            <w:tcW w:w="576" w:type="pct"/>
            <w:tcBorders>
              <w:top w:val="nil"/>
              <w:left w:val="nil"/>
              <w:bottom w:val="single" w:sz="4" w:space="0" w:color="auto"/>
              <w:right w:val="nil"/>
            </w:tcBorders>
          </w:tcPr>
          <w:p w14:paraId="4312A6E5" w14:textId="77777777" w:rsidR="00636BD8" w:rsidRPr="008A5E55" w:rsidRDefault="00636BD8" w:rsidP="00636BD8">
            <w:pPr>
              <w:jc w:val="center"/>
            </w:pPr>
            <w:r w:rsidRPr="008A5E55">
              <w:t>2</w:t>
            </w:r>
            <w:r>
              <w:t>13.7</w:t>
            </w:r>
          </w:p>
        </w:tc>
        <w:tc>
          <w:tcPr>
            <w:tcW w:w="577" w:type="pct"/>
            <w:tcBorders>
              <w:top w:val="nil"/>
              <w:left w:val="nil"/>
              <w:bottom w:val="single" w:sz="4" w:space="0" w:color="auto"/>
              <w:right w:val="nil"/>
            </w:tcBorders>
          </w:tcPr>
          <w:p w14:paraId="3D996506" w14:textId="77777777" w:rsidR="00636BD8" w:rsidRPr="008A5E55" w:rsidRDefault="00636BD8" w:rsidP="00636BD8">
            <w:pPr>
              <w:jc w:val="center"/>
            </w:pPr>
          </w:p>
        </w:tc>
      </w:tr>
      <w:tr w:rsidR="00636BD8" w:rsidRPr="008A5E55" w14:paraId="21BB329F" w14:textId="77777777" w:rsidTr="00636BD8">
        <w:trPr>
          <w:cantSplit/>
          <w:jc w:val="center"/>
        </w:trPr>
        <w:tc>
          <w:tcPr>
            <w:tcW w:w="5000" w:type="pct"/>
            <w:gridSpan w:val="8"/>
            <w:tcBorders>
              <w:top w:val="single" w:sz="4" w:space="0" w:color="auto"/>
              <w:left w:val="nil"/>
              <w:bottom w:val="nil"/>
              <w:right w:val="nil"/>
            </w:tcBorders>
            <w:vAlign w:val="center"/>
          </w:tcPr>
          <w:p w14:paraId="73370B58" w14:textId="77777777" w:rsidR="00636BD8" w:rsidRPr="008A5E55" w:rsidRDefault="00636BD8" w:rsidP="00636BD8">
            <w:pPr>
              <w:rPr>
                <w:rFonts w:eastAsia="Times New Roman"/>
              </w:rPr>
            </w:pPr>
            <w:r w:rsidRPr="008A5E55">
              <w:rPr>
                <w:rFonts w:eastAsia="Times New Roman"/>
              </w:rPr>
              <w:t>Robust standard errors reported in parentheses.</w:t>
            </w:r>
          </w:p>
        </w:tc>
      </w:tr>
      <w:tr w:rsidR="00636BD8" w:rsidRPr="008A5E55" w14:paraId="621DF943" w14:textId="77777777" w:rsidTr="00636BD8">
        <w:trPr>
          <w:cantSplit/>
          <w:jc w:val="center"/>
        </w:trPr>
        <w:tc>
          <w:tcPr>
            <w:tcW w:w="5000" w:type="pct"/>
            <w:gridSpan w:val="8"/>
            <w:tcBorders>
              <w:top w:val="nil"/>
              <w:left w:val="nil"/>
              <w:bottom w:val="single" w:sz="4" w:space="0" w:color="auto"/>
              <w:right w:val="nil"/>
            </w:tcBorders>
            <w:vAlign w:val="center"/>
          </w:tcPr>
          <w:p w14:paraId="2591B6C9" w14:textId="77777777" w:rsidR="00636BD8" w:rsidRPr="008A5E55" w:rsidRDefault="00636BD8" w:rsidP="00636BD8">
            <w:pPr>
              <w:rPr>
                <w:rFonts w:cs="Times"/>
              </w:rPr>
            </w:pPr>
            <w:r w:rsidRPr="008A5E55">
              <w:rPr>
                <w:rFonts w:eastAsia="Times New Roman"/>
              </w:rPr>
              <w:t>* p &lt; .05; ** p &lt; .01; *** p &lt; .001</w:t>
            </w:r>
          </w:p>
        </w:tc>
      </w:tr>
    </w:tbl>
    <w:p w14:paraId="10ECC729" w14:textId="77777777" w:rsidR="00A32B89" w:rsidRDefault="00A32B89" w:rsidP="00C83D17">
      <w:pPr>
        <w:spacing w:line="480" w:lineRule="auto"/>
        <w:ind w:right="-360"/>
        <w:rPr>
          <w:rFonts w:ascii="Times New Roman" w:hAnsi="Times New Roman" w:cs="Times New Roman"/>
          <w:sz w:val="24"/>
          <w:szCs w:val="24"/>
        </w:rPr>
      </w:pPr>
    </w:p>
    <w:p w14:paraId="4E134DFA" w14:textId="72E96506" w:rsidR="00487CA1" w:rsidRDefault="00487CA1" w:rsidP="005E6578">
      <w:pPr>
        <w:spacing w:line="480" w:lineRule="auto"/>
        <w:ind w:right="-360" w:firstLine="720"/>
        <w:rPr>
          <w:rFonts w:ascii="Times New Roman" w:hAnsi="Times New Roman" w:cs="Times New Roman"/>
          <w:sz w:val="24"/>
          <w:szCs w:val="24"/>
        </w:rPr>
      </w:pPr>
      <w:r>
        <w:rPr>
          <w:rFonts w:ascii="Times New Roman" w:hAnsi="Times New Roman" w:cs="Times New Roman"/>
          <w:sz w:val="24"/>
          <w:szCs w:val="24"/>
        </w:rPr>
        <w:t>As an additional test of these relationships, we change the dependent variable from the frequency of severe conflicts annually in a region (</w:t>
      </w:r>
      <w:r w:rsidR="00E93587">
        <w:rPr>
          <w:rFonts w:ascii="Times New Roman" w:hAnsi="Times New Roman" w:cs="Times New Roman"/>
          <w:sz w:val="24"/>
          <w:szCs w:val="24"/>
        </w:rPr>
        <w:t xml:space="preserve">again, </w:t>
      </w:r>
      <w:r>
        <w:rPr>
          <w:rFonts w:ascii="Times New Roman" w:hAnsi="Times New Roman" w:cs="Times New Roman"/>
          <w:sz w:val="24"/>
          <w:szCs w:val="24"/>
        </w:rPr>
        <w:t>controlling for region size) to the number of states engaged in severe conflicts annually in the region (</w:t>
      </w:r>
      <w:r w:rsidR="00E93587">
        <w:rPr>
          <w:rFonts w:ascii="Times New Roman" w:hAnsi="Times New Roman" w:cs="Times New Roman"/>
          <w:sz w:val="24"/>
          <w:szCs w:val="24"/>
        </w:rPr>
        <w:t xml:space="preserve">also </w:t>
      </w:r>
      <w:r>
        <w:rPr>
          <w:rFonts w:ascii="Times New Roman" w:hAnsi="Times New Roman" w:cs="Times New Roman"/>
          <w:sz w:val="24"/>
          <w:szCs w:val="24"/>
        </w:rPr>
        <w:t>controlling for region size</w:t>
      </w:r>
      <w:r w:rsidR="00A03273">
        <w:rPr>
          <w:rFonts w:ascii="Times New Roman" w:hAnsi="Times New Roman" w:cs="Times New Roman"/>
          <w:sz w:val="24"/>
          <w:szCs w:val="24"/>
        </w:rPr>
        <w:t>)</w:t>
      </w:r>
      <w:r>
        <w:rPr>
          <w:rFonts w:ascii="Times New Roman" w:hAnsi="Times New Roman" w:cs="Times New Roman"/>
          <w:sz w:val="24"/>
          <w:szCs w:val="24"/>
        </w:rPr>
        <w:t xml:space="preserve">. </w:t>
      </w:r>
      <w:r w:rsidR="00937D5D">
        <w:rPr>
          <w:rFonts w:ascii="Times New Roman" w:hAnsi="Times New Roman" w:cs="Times New Roman"/>
          <w:sz w:val="24"/>
          <w:szCs w:val="24"/>
        </w:rPr>
        <w:t xml:space="preserve">This was done </w:t>
      </w:r>
      <w:r>
        <w:rPr>
          <w:rFonts w:ascii="Times New Roman" w:hAnsi="Times New Roman" w:cs="Times New Roman"/>
          <w:sz w:val="24"/>
          <w:szCs w:val="24"/>
        </w:rPr>
        <w:t xml:space="preserve">to approximate a measure of the </w:t>
      </w:r>
      <w:r w:rsidR="00186906">
        <w:rPr>
          <w:rFonts w:ascii="Times New Roman" w:hAnsi="Times New Roman" w:cs="Times New Roman"/>
          <w:sz w:val="24"/>
          <w:szCs w:val="24"/>
        </w:rPr>
        <w:t xml:space="preserve">extent of conflict diffusion </w:t>
      </w:r>
      <w:r>
        <w:rPr>
          <w:rFonts w:ascii="Times New Roman" w:hAnsi="Times New Roman" w:cs="Times New Roman"/>
          <w:sz w:val="24"/>
          <w:szCs w:val="24"/>
        </w:rPr>
        <w:t>in regions, and to ascertain the extent to which rivalries create stronger diffusion effects and/or the extent to which hierarchies minimize diffusion effects. The results are displayed in Table 3. We do</w:t>
      </w:r>
      <w:r w:rsidR="00462E26">
        <w:rPr>
          <w:rFonts w:ascii="Times New Roman" w:hAnsi="Times New Roman" w:cs="Times New Roman"/>
          <w:sz w:val="24"/>
          <w:szCs w:val="24"/>
        </w:rPr>
        <w:t xml:space="preserve"> not</w:t>
      </w:r>
      <w:r>
        <w:rPr>
          <w:rFonts w:ascii="Times New Roman" w:hAnsi="Times New Roman" w:cs="Times New Roman"/>
          <w:sz w:val="24"/>
          <w:szCs w:val="24"/>
        </w:rPr>
        <w:t xml:space="preserve"> learn a great deal more about the effects of rivalries on conflict diffusion than we had about conflict levels. While the </w:t>
      </w:r>
      <w:r w:rsidR="00BE440E">
        <w:rPr>
          <w:rFonts w:ascii="Times New Roman" w:hAnsi="Times New Roman" w:cs="Times New Roman"/>
          <w:sz w:val="24"/>
          <w:szCs w:val="24"/>
        </w:rPr>
        <w:t xml:space="preserve">rivalry </w:t>
      </w:r>
      <w:r>
        <w:rPr>
          <w:rFonts w:ascii="Times New Roman" w:hAnsi="Times New Roman" w:cs="Times New Roman"/>
          <w:sz w:val="24"/>
          <w:szCs w:val="24"/>
        </w:rPr>
        <w:t>coefficients are stronger, so are the coefficients for territorial claims. However,</w:t>
      </w:r>
      <w:r w:rsidR="006F69B1">
        <w:rPr>
          <w:rFonts w:ascii="Times New Roman" w:hAnsi="Times New Roman" w:cs="Times New Roman"/>
          <w:sz w:val="24"/>
          <w:szCs w:val="24"/>
        </w:rPr>
        <w:t xml:space="preserve"> as shown in Figures </w:t>
      </w:r>
      <w:r w:rsidR="00CD5D7E">
        <w:rPr>
          <w:rFonts w:ascii="Times New Roman" w:hAnsi="Times New Roman" w:cs="Times New Roman"/>
          <w:sz w:val="24"/>
          <w:szCs w:val="24"/>
        </w:rPr>
        <w:t>5 and 6</w:t>
      </w:r>
      <w:r w:rsidR="006F69B1">
        <w:rPr>
          <w:rFonts w:ascii="Times New Roman" w:hAnsi="Times New Roman" w:cs="Times New Roman"/>
          <w:sz w:val="24"/>
          <w:szCs w:val="24"/>
        </w:rPr>
        <w:t>,</w:t>
      </w:r>
      <w:r>
        <w:rPr>
          <w:rFonts w:ascii="Times New Roman" w:hAnsi="Times New Roman" w:cs="Times New Roman"/>
          <w:sz w:val="24"/>
          <w:szCs w:val="24"/>
        </w:rPr>
        <w:t xml:space="preserve"> it appears hierarchy does seem to have a </w:t>
      </w:r>
      <w:r w:rsidR="00AF5735">
        <w:rPr>
          <w:rFonts w:ascii="Times New Roman" w:hAnsi="Times New Roman" w:cs="Times New Roman"/>
          <w:sz w:val="24"/>
          <w:szCs w:val="24"/>
        </w:rPr>
        <w:t xml:space="preserve">somewhat </w:t>
      </w:r>
      <w:r>
        <w:rPr>
          <w:rFonts w:ascii="Times New Roman" w:hAnsi="Times New Roman" w:cs="Times New Roman"/>
          <w:sz w:val="24"/>
          <w:szCs w:val="24"/>
        </w:rPr>
        <w:t xml:space="preserve">stronger </w:t>
      </w:r>
      <w:r w:rsidR="00AF5735">
        <w:rPr>
          <w:rFonts w:ascii="Times New Roman" w:hAnsi="Times New Roman" w:cs="Times New Roman"/>
          <w:sz w:val="24"/>
          <w:szCs w:val="24"/>
        </w:rPr>
        <w:t>impact</w:t>
      </w:r>
      <w:r>
        <w:rPr>
          <w:rFonts w:ascii="Times New Roman" w:hAnsi="Times New Roman" w:cs="Times New Roman"/>
          <w:sz w:val="24"/>
          <w:szCs w:val="24"/>
        </w:rPr>
        <w:t xml:space="preserve"> in minimizing </w:t>
      </w:r>
      <w:r w:rsidR="00AF5735">
        <w:rPr>
          <w:rFonts w:ascii="Times New Roman" w:hAnsi="Times New Roman" w:cs="Times New Roman"/>
          <w:sz w:val="24"/>
          <w:szCs w:val="24"/>
        </w:rPr>
        <w:t xml:space="preserve">the </w:t>
      </w:r>
      <w:r>
        <w:rPr>
          <w:rFonts w:ascii="Times New Roman" w:hAnsi="Times New Roman" w:cs="Times New Roman"/>
          <w:sz w:val="24"/>
          <w:szCs w:val="24"/>
        </w:rPr>
        <w:t xml:space="preserve">diffusion </w:t>
      </w:r>
      <w:r w:rsidR="006F69B1">
        <w:rPr>
          <w:rFonts w:ascii="Times New Roman" w:hAnsi="Times New Roman" w:cs="Times New Roman"/>
          <w:sz w:val="24"/>
          <w:szCs w:val="24"/>
        </w:rPr>
        <w:t xml:space="preserve">of </w:t>
      </w:r>
      <w:r w:rsidR="00E017C0">
        <w:rPr>
          <w:rFonts w:ascii="Times New Roman" w:hAnsi="Times New Roman" w:cs="Times New Roman"/>
          <w:sz w:val="24"/>
          <w:szCs w:val="24"/>
        </w:rPr>
        <w:t xml:space="preserve">conflict </w:t>
      </w:r>
      <w:r>
        <w:rPr>
          <w:rFonts w:ascii="Times New Roman" w:hAnsi="Times New Roman" w:cs="Times New Roman"/>
          <w:sz w:val="24"/>
          <w:szCs w:val="24"/>
        </w:rPr>
        <w:t xml:space="preserve">than it did </w:t>
      </w:r>
      <w:r w:rsidR="00A86788">
        <w:rPr>
          <w:rFonts w:ascii="Times New Roman" w:hAnsi="Times New Roman" w:cs="Times New Roman"/>
          <w:sz w:val="24"/>
          <w:szCs w:val="24"/>
        </w:rPr>
        <w:t xml:space="preserve">in </w:t>
      </w:r>
      <w:r>
        <w:rPr>
          <w:rFonts w:ascii="Times New Roman" w:hAnsi="Times New Roman" w:cs="Times New Roman"/>
          <w:sz w:val="24"/>
          <w:szCs w:val="24"/>
        </w:rPr>
        <w:t xml:space="preserve">minimizing levels of </w:t>
      </w:r>
      <w:r w:rsidR="00AF5735">
        <w:rPr>
          <w:rFonts w:ascii="Times New Roman" w:hAnsi="Times New Roman" w:cs="Times New Roman"/>
          <w:sz w:val="24"/>
          <w:szCs w:val="24"/>
        </w:rPr>
        <w:t xml:space="preserve">regional </w:t>
      </w:r>
      <w:r>
        <w:rPr>
          <w:rFonts w:ascii="Times New Roman" w:hAnsi="Times New Roman" w:cs="Times New Roman"/>
          <w:sz w:val="24"/>
          <w:szCs w:val="24"/>
        </w:rPr>
        <w:t>conflict.</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0135E4" w:rsidRPr="00F36B05" w14:paraId="4B8AD665" w14:textId="77777777" w:rsidTr="00823E67">
        <w:trPr>
          <w:trHeight w:val="470"/>
          <w:jc w:val="center"/>
        </w:trPr>
        <w:tc>
          <w:tcPr>
            <w:tcW w:w="9360" w:type="dxa"/>
            <w:gridSpan w:val="2"/>
            <w:tcBorders>
              <w:bottom w:val="single" w:sz="4" w:space="0" w:color="auto"/>
            </w:tcBorders>
            <w:vAlign w:val="center"/>
          </w:tcPr>
          <w:p w14:paraId="3EF1565C" w14:textId="70F182DD" w:rsidR="000135E4" w:rsidRPr="00F36B05" w:rsidRDefault="000135E4" w:rsidP="00825689">
            <w:pPr>
              <w:rPr>
                <w:b/>
              </w:rPr>
            </w:pPr>
            <w:r w:rsidRPr="00F36B05">
              <w:rPr>
                <w:b/>
              </w:rPr>
              <w:t xml:space="preserve">Figure </w:t>
            </w:r>
            <w:r w:rsidR="00825689">
              <w:rPr>
                <w:b/>
              </w:rPr>
              <w:t>5</w:t>
            </w:r>
            <w:r w:rsidRPr="00F36B05">
              <w:rPr>
                <w:b/>
              </w:rPr>
              <w:t>: Marginal Effect of Major Power Hierarchy and Rivalries on Severe State MID Involvement</w:t>
            </w:r>
          </w:p>
        </w:tc>
      </w:tr>
      <w:tr w:rsidR="000135E4" w:rsidRPr="009A6FC6" w14:paraId="66F9CE99" w14:textId="77777777" w:rsidTr="00823E67">
        <w:trPr>
          <w:jc w:val="center"/>
        </w:trPr>
        <w:tc>
          <w:tcPr>
            <w:tcW w:w="4680" w:type="dxa"/>
            <w:tcBorders>
              <w:top w:val="single" w:sz="4" w:space="0" w:color="auto"/>
            </w:tcBorders>
            <w:vAlign w:val="center"/>
          </w:tcPr>
          <w:p w14:paraId="284FCBC4" w14:textId="77777777" w:rsidR="000135E4" w:rsidRPr="009A6FC6" w:rsidRDefault="000135E4" w:rsidP="00823E67">
            <w:pPr>
              <w:jc w:val="center"/>
            </w:pPr>
          </w:p>
          <w:p w14:paraId="1848E756" w14:textId="77777777" w:rsidR="000135E4" w:rsidRPr="009A6FC6" w:rsidRDefault="000135E4" w:rsidP="00823E67">
            <w:pPr>
              <w:jc w:val="center"/>
            </w:pPr>
            <w:r w:rsidRPr="009A6FC6">
              <w:rPr>
                <w:noProof/>
              </w:rPr>
              <w:lastRenderedPageBreak/>
              <w:drawing>
                <wp:inline distT="0" distB="0" distL="0" distR="0" wp14:anchorId="459C99A9" wp14:editId="23BFB5CC">
                  <wp:extent cx="25146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14600" cy="1828800"/>
                          </a:xfrm>
                          <a:prstGeom prst="rect">
                            <a:avLst/>
                          </a:prstGeom>
                        </pic:spPr>
                      </pic:pic>
                    </a:graphicData>
                  </a:graphic>
                </wp:inline>
              </w:drawing>
            </w:r>
          </w:p>
        </w:tc>
        <w:tc>
          <w:tcPr>
            <w:tcW w:w="4680" w:type="dxa"/>
            <w:tcBorders>
              <w:top w:val="single" w:sz="4" w:space="0" w:color="auto"/>
            </w:tcBorders>
            <w:vAlign w:val="center"/>
          </w:tcPr>
          <w:p w14:paraId="3FDF8C82" w14:textId="77777777" w:rsidR="000135E4" w:rsidRPr="009A6FC6" w:rsidRDefault="000135E4" w:rsidP="00823E67">
            <w:pPr>
              <w:jc w:val="center"/>
            </w:pPr>
          </w:p>
          <w:p w14:paraId="7E1E2EE4" w14:textId="77777777" w:rsidR="000135E4" w:rsidRPr="009A6FC6" w:rsidRDefault="000135E4" w:rsidP="00823E67">
            <w:pPr>
              <w:jc w:val="center"/>
            </w:pPr>
            <w:r w:rsidRPr="009A6FC6">
              <w:rPr>
                <w:noProof/>
              </w:rPr>
              <w:lastRenderedPageBreak/>
              <w:drawing>
                <wp:inline distT="0" distB="0" distL="0" distR="0" wp14:anchorId="0CAE1EF1" wp14:editId="0EE5B023">
                  <wp:extent cx="2514600" cy="18288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514600" cy="1828800"/>
                          </a:xfrm>
                          <a:prstGeom prst="rect">
                            <a:avLst/>
                          </a:prstGeom>
                          <a:noFill/>
                          <a:ln>
                            <a:noFill/>
                          </a:ln>
                        </pic:spPr>
                      </pic:pic>
                    </a:graphicData>
                  </a:graphic>
                </wp:inline>
              </w:drawing>
            </w:r>
          </w:p>
        </w:tc>
      </w:tr>
      <w:tr w:rsidR="000135E4" w:rsidRPr="009A6FC6" w14:paraId="2D6638C5" w14:textId="77777777" w:rsidTr="00823E67">
        <w:trPr>
          <w:trHeight w:val="216"/>
          <w:jc w:val="center"/>
        </w:trPr>
        <w:tc>
          <w:tcPr>
            <w:tcW w:w="4680" w:type="dxa"/>
            <w:tcBorders>
              <w:bottom w:val="single" w:sz="4" w:space="0" w:color="auto"/>
            </w:tcBorders>
            <w:vAlign w:val="center"/>
          </w:tcPr>
          <w:p w14:paraId="1877A178" w14:textId="77777777" w:rsidR="000135E4" w:rsidRPr="009A6FC6" w:rsidRDefault="000135E4" w:rsidP="00823E67">
            <w:pPr>
              <w:jc w:val="center"/>
            </w:pPr>
          </w:p>
        </w:tc>
        <w:tc>
          <w:tcPr>
            <w:tcW w:w="4680" w:type="dxa"/>
            <w:tcBorders>
              <w:bottom w:val="single" w:sz="4" w:space="0" w:color="auto"/>
            </w:tcBorders>
            <w:vAlign w:val="center"/>
          </w:tcPr>
          <w:p w14:paraId="407A42EC" w14:textId="77777777" w:rsidR="000135E4" w:rsidRPr="009A6FC6" w:rsidRDefault="000135E4" w:rsidP="00823E67">
            <w:pPr>
              <w:jc w:val="center"/>
            </w:pPr>
          </w:p>
        </w:tc>
      </w:tr>
    </w:tbl>
    <w:p w14:paraId="737608FF" w14:textId="49A45926" w:rsidR="00E467DE" w:rsidRDefault="00E467DE" w:rsidP="00825689">
      <w:pPr>
        <w:spacing w:line="480" w:lineRule="auto"/>
        <w:ind w:right="-360"/>
        <w:rPr>
          <w:rFonts w:ascii="Times New Roman" w:hAnsi="Times New Roman" w:cs="Times New Roman"/>
          <w:sz w:val="24"/>
          <w:szCs w:val="24"/>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0135E4" w:rsidRPr="009A6FC6" w14:paraId="0CB08F74" w14:textId="77777777" w:rsidTr="00823E67">
        <w:trPr>
          <w:trHeight w:val="470"/>
          <w:jc w:val="center"/>
        </w:trPr>
        <w:tc>
          <w:tcPr>
            <w:tcW w:w="9360" w:type="dxa"/>
            <w:gridSpan w:val="2"/>
            <w:tcBorders>
              <w:bottom w:val="single" w:sz="4" w:space="0" w:color="auto"/>
            </w:tcBorders>
            <w:vAlign w:val="center"/>
          </w:tcPr>
          <w:p w14:paraId="03F297A7" w14:textId="797CB240" w:rsidR="000135E4" w:rsidRPr="00F36B05" w:rsidRDefault="000135E4" w:rsidP="00825689">
            <w:pPr>
              <w:rPr>
                <w:b/>
              </w:rPr>
            </w:pPr>
            <w:r w:rsidRPr="00F36B05">
              <w:rPr>
                <w:b/>
              </w:rPr>
              <w:t xml:space="preserve">Figure </w:t>
            </w:r>
            <w:r w:rsidR="00825689">
              <w:rPr>
                <w:b/>
              </w:rPr>
              <w:t>6</w:t>
            </w:r>
            <w:r w:rsidRPr="00F36B05">
              <w:rPr>
                <w:b/>
              </w:rPr>
              <w:t>: Marginal Effect of Regional Power Hierarchy and Rivalries on Severe State MID Involvement</w:t>
            </w:r>
          </w:p>
        </w:tc>
      </w:tr>
      <w:tr w:rsidR="000135E4" w:rsidRPr="009A6FC6" w14:paraId="7E70A120" w14:textId="77777777" w:rsidTr="00823E67">
        <w:trPr>
          <w:jc w:val="center"/>
        </w:trPr>
        <w:tc>
          <w:tcPr>
            <w:tcW w:w="4680" w:type="dxa"/>
            <w:tcBorders>
              <w:top w:val="single" w:sz="4" w:space="0" w:color="auto"/>
            </w:tcBorders>
            <w:vAlign w:val="center"/>
          </w:tcPr>
          <w:p w14:paraId="6C7C07F1" w14:textId="77777777" w:rsidR="000135E4" w:rsidRPr="009A6FC6" w:rsidRDefault="000135E4" w:rsidP="00823E67">
            <w:pPr>
              <w:jc w:val="center"/>
            </w:pPr>
          </w:p>
          <w:p w14:paraId="6D49883B" w14:textId="77777777" w:rsidR="000135E4" w:rsidRPr="009A6FC6" w:rsidRDefault="000135E4" w:rsidP="00823E67">
            <w:pPr>
              <w:jc w:val="center"/>
            </w:pPr>
            <w:r w:rsidRPr="009A6FC6">
              <w:rPr>
                <w:noProof/>
              </w:rPr>
              <w:drawing>
                <wp:inline distT="0" distB="0" distL="0" distR="0" wp14:anchorId="46BCD890" wp14:editId="55CCE6D3">
                  <wp:extent cx="251460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14600" cy="1828800"/>
                          </a:xfrm>
                          <a:prstGeom prst="rect">
                            <a:avLst/>
                          </a:prstGeom>
                        </pic:spPr>
                      </pic:pic>
                    </a:graphicData>
                  </a:graphic>
                </wp:inline>
              </w:drawing>
            </w:r>
          </w:p>
        </w:tc>
        <w:tc>
          <w:tcPr>
            <w:tcW w:w="4680" w:type="dxa"/>
            <w:tcBorders>
              <w:top w:val="single" w:sz="4" w:space="0" w:color="auto"/>
            </w:tcBorders>
            <w:vAlign w:val="center"/>
          </w:tcPr>
          <w:p w14:paraId="38FC3DFD" w14:textId="77777777" w:rsidR="000135E4" w:rsidRPr="009A6FC6" w:rsidRDefault="000135E4" w:rsidP="00823E67">
            <w:pPr>
              <w:jc w:val="center"/>
            </w:pPr>
          </w:p>
          <w:p w14:paraId="3FE2E4CF" w14:textId="77777777" w:rsidR="000135E4" w:rsidRPr="009A6FC6" w:rsidRDefault="000135E4" w:rsidP="00823E67">
            <w:pPr>
              <w:jc w:val="center"/>
            </w:pPr>
            <w:r w:rsidRPr="009A6FC6">
              <w:rPr>
                <w:noProof/>
              </w:rPr>
              <w:drawing>
                <wp:inline distT="0" distB="0" distL="0" distR="0" wp14:anchorId="30C016AD" wp14:editId="5432C583">
                  <wp:extent cx="2514600" cy="18288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514600" cy="1828800"/>
                          </a:xfrm>
                          <a:prstGeom prst="rect">
                            <a:avLst/>
                          </a:prstGeom>
                          <a:noFill/>
                          <a:ln>
                            <a:noFill/>
                          </a:ln>
                        </pic:spPr>
                      </pic:pic>
                    </a:graphicData>
                  </a:graphic>
                </wp:inline>
              </w:drawing>
            </w:r>
          </w:p>
        </w:tc>
      </w:tr>
      <w:tr w:rsidR="000135E4" w:rsidRPr="009A6FC6" w14:paraId="4F428A34" w14:textId="77777777" w:rsidTr="00823E67">
        <w:trPr>
          <w:trHeight w:val="216"/>
          <w:jc w:val="center"/>
        </w:trPr>
        <w:tc>
          <w:tcPr>
            <w:tcW w:w="4680" w:type="dxa"/>
            <w:tcBorders>
              <w:bottom w:val="single" w:sz="4" w:space="0" w:color="auto"/>
            </w:tcBorders>
            <w:vAlign w:val="center"/>
          </w:tcPr>
          <w:p w14:paraId="41E25737" w14:textId="77777777" w:rsidR="000135E4" w:rsidRPr="009A6FC6" w:rsidRDefault="000135E4" w:rsidP="00823E67">
            <w:pPr>
              <w:jc w:val="center"/>
            </w:pPr>
          </w:p>
        </w:tc>
        <w:tc>
          <w:tcPr>
            <w:tcW w:w="4680" w:type="dxa"/>
            <w:tcBorders>
              <w:bottom w:val="single" w:sz="4" w:space="0" w:color="auto"/>
            </w:tcBorders>
            <w:vAlign w:val="center"/>
          </w:tcPr>
          <w:p w14:paraId="2338A5EF" w14:textId="77777777" w:rsidR="000135E4" w:rsidRPr="009A6FC6" w:rsidRDefault="000135E4" w:rsidP="00823E67">
            <w:pPr>
              <w:jc w:val="center"/>
            </w:pPr>
          </w:p>
        </w:tc>
      </w:tr>
    </w:tbl>
    <w:p w14:paraId="1CA2E51E" w14:textId="77777777" w:rsidR="000135E4" w:rsidRDefault="000135E4" w:rsidP="00825689">
      <w:pPr>
        <w:spacing w:line="480" w:lineRule="auto"/>
        <w:ind w:right="-360"/>
        <w:rPr>
          <w:rFonts w:ascii="Times New Roman" w:hAnsi="Times New Roman" w:cs="Times New Roman"/>
          <w:sz w:val="24"/>
          <w:szCs w:val="24"/>
        </w:rPr>
      </w:pPr>
    </w:p>
    <w:p w14:paraId="40FCF207" w14:textId="20F98740" w:rsidR="00E467DE" w:rsidRDefault="00E467DE" w:rsidP="00825689">
      <w:pPr>
        <w:spacing w:line="480" w:lineRule="auto"/>
        <w:ind w:right="-360"/>
        <w:rPr>
          <w:rFonts w:ascii="Times New Roman" w:hAnsi="Times New Roman" w:cs="Times New Roman"/>
          <w:sz w:val="24"/>
          <w:szCs w:val="24"/>
        </w:rPr>
      </w:pPr>
      <w:r>
        <w:rPr>
          <w:rFonts w:ascii="Times New Roman" w:hAnsi="Times New Roman" w:cs="Times New Roman"/>
          <w:sz w:val="24"/>
          <w:szCs w:val="24"/>
        </w:rPr>
        <w:tab/>
        <w:t>Following the same structure as above, Figure</w:t>
      </w:r>
      <w:r w:rsidR="00825689">
        <w:rPr>
          <w:rFonts w:ascii="Times New Roman" w:hAnsi="Times New Roman" w:cs="Times New Roman"/>
          <w:sz w:val="24"/>
          <w:szCs w:val="24"/>
        </w:rPr>
        <w:t xml:space="preserve"> 5</w:t>
      </w:r>
      <w:r w:rsidR="00937D5D">
        <w:rPr>
          <w:rFonts w:ascii="Times New Roman" w:hAnsi="Times New Roman" w:cs="Times New Roman"/>
          <w:sz w:val="24"/>
          <w:szCs w:val="24"/>
        </w:rPr>
        <w:t xml:space="preserve"> </w:t>
      </w:r>
      <w:r>
        <w:rPr>
          <w:rFonts w:ascii="Times New Roman" w:hAnsi="Times New Roman" w:cs="Times New Roman"/>
          <w:sz w:val="24"/>
          <w:szCs w:val="24"/>
        </w:rPr>
        <w:t>plots the</w:t>
      </w:r>
      <w:r w:rsidR="005D668B">
        <w:rPr>
          <w:rFonts w:ascii="Times New Roman" w:hAnsi="Times New Roman" w:cs="Times New Roman"/>
          <w:sz w:val="24"/>
          <w:szCs w:val="24"/>
        </w:rPr>
        <w:t xml:space="preserve"> unique</w:t>
      </w:r>
      <w:r>
        <w:rPr>
          <w:rFonts w:ascii="Times New Roman" w:hAnsi="Times New Roman" w:cs="Times New Roman"/>
          <w:sz w:val="24"/>
          <w:szCs w:val="24"/>
        </w:rPr>
        <w:t xml:space="preserve"> effects of major power hierarchy (left panel) and intra-regional rivalries (right panel) and corresponds to the ‘Major Power Presence’ model of Table 3; Figure </w:t>
      </w:r>
      <w:r w:rsidR="00825689">
        <w:rPr>
          <w:rFonts w:ascii="Times New Roman" w:hAnsi="Times New Roman" w:cs="Times New Roman"/>
          <w:sz w:val="24"/>
          <w:szCs w:val="24"/>
        </w:rPr>
        <w:t>6</w:t>
      </w:r>
      <w:r>
        <w:rPr>
          <w:rFonts w:ascii="Times New Roman" w:hAnsi="Times New Roman" w:cs="Times New Roman"/>
          <w:sz w:val="24"/>
          <w:szCs w:val="24"/>
        </w:rPr>
        <w:t xml:space="preserve"> plots the same for regional power hierarchies and corresponds to the ‘Regional Power Presence’ model of Table 3.</w:t>
      </w:r>
      <w:r w:rsidR="005464E8">
        <w:rPr>
          <w:rFonts w:ascii="Times New Roman" w:hAnsi="Times New Roman" w:cs="Times New Roman"/>
          <w:sz w:val="24"/>
          <w:szCs w:val="24"/>
        </w:rPr>
        <w:t xml:space="preserve"> </w:t>
      </w:r>
      <w:r>
        <w:rPr>
          <w:rFonts w:ascii="Times New Roman" w:hAnsi="Times New Roman" w:cs="Times New Roman"/>
          <w:sz w:val="24"/>
          <w:szCs w:val="24"/>
        </w:rPr>
        <w:t xml:space="preserve">Figure </w:t>
      </w:r>
      <w:r w:rsidR="00825689">
        <w:rPr>
          <w:rFonts w:ascii="Times New Roman" w:hAnsi="Times New Roman" w:cs="Times New Roman"/>
          <w:sz w:val="24"/>
          <w:szCs w:val="24"/>
        </w:rPr>
        <w:t xml:space="preserve">5 </w:t>
      </w:r>
      <w:r>
        <w:rPr>
          <w:rFonts w:ascii="Times New Roman" w:hAnsi="Times New Roman" w:cs="Times New Roman"/>
          <w:sz w:val="24"/>
          <w:szCs w:val="24"/>
        </w:rPr>
        <w:t xml:space="preserve">suggests regions without a major power experience approximately 144% more </w:t>
      </w:r>
      <w:r w:rsidR="002D4F55">
        <w:rPr>
          <w:rFonts w:ascii="Times New Roman" w:hAnsi="Times New Roman" w:cs="Times New Roman"/>
          <w:sz w:val="24"/>
          <w:szCs w:val="24"/>
        </w:rPr>
        <w:t>severe MID</w:t>
      </w:r>
      <w:r>
        <w:rPr>
          <w:rFonts w:ascii="Times New Roman" w:hAnsi="Times New Roman" w:cs="Times New Roman"/>
          <w:sz w:val="24"/>
          <w:szCs w:val="24"/>
        </w:rPr>
        <w:t xml:space="preserve"> involvement (0.484 versus 0.198) and these effects are comparable to the predicted levels of involvement for a region </w:t>
      </w:r>
      <w:r w:rsidR="0000434B">
        <w:rPr>
          <w:rFonts w:ascii="Times New Roman" w:hAnsi="Times New Roman" w:cs="Times New Roman"/>
          <w:sz w:val="24"/>
          <w:szCs w:val="24"/>
        </w:rPr>
        <w:t>when it is characterized by zero intra-regional rivalries (0.197) and between six (0.470) and seven (0.515) intra-regional rivalries.</w:t>
      </w:r>
      <w:r w:rsidR="00937D5D">
        <w:rPr>
          <w:rFonts w:ascii="Times New Roman" w:hAnsi="Times New Roman" w:cs="Times New Roman"/>
          <w:sz w:val="24"/>
          <w:szCs w:val="24"/>
        </w:rPr>
        <w:t xml:space="preserve"> U</w:t>
      </w:r>
      <w:r w:rsidR="0000434B">
        <w:rPr>
          <w:rFonts w:ascii="Times New Roman" w:hAnsi="Times New Roman" w:cs="Times New Roman"/>
          <w:sz w:val="24"/>
          <w:szCs w:val="24"/>
        </w:rPr>
        <w:t xml:space="preserve">nlike our </w:t>
      </w:r>
      <w:r w:rsidR="00B17A2E">
        <w:rPr>
          <w:rFonts w:ascii="Times New Roman" w:hAnsi="Times New Roman" w:cs="Times New Roman"/>
          <w:sz w:val="24"/>
          <w:szCs w:val="24"/>
        </w:rPr>
        <w:t>previous</w:t>
      </w:r>
      <w:r w:rsidR="0000434B">
        <w:rPr>
          <w:rFonts w:ascii="Times New Roman" w:hAnsi="Times New Roman" w:cs="Times New Roman"/>
          <w:sz w:val="24"/>
          <w:szCs w:val="24"/>
        </w:rPr>
        <w:t xml:space="preserve"> results</w:t>
      </w:r>
      <w:r w:rsidR="00937D5D">
        <w:rPr>
          <w:rFonts w:ascii="Times New Roman" w:hAnsi="Times New Roman" w:cs="Times New Roman"/>
          <w:sz w:val="24"/>
          <w:szCs w:val="24"/>
        </w:rPr>
        <w:t>,</w:t>
      </w:r>
      <w:r w:rsidR="00B17A2E">
        <w:rPr>
          <w:rFonts w:ascii="Times New Roman" w:hAnsi="Times New Roman" w:cs="Times New Roman"/>
          <w:sz w:val="24"/>
          <w:szCs w:val="24"/>
        </w:rPr>
        <w:t xml:space="preserve"> regional powers demonstrate less ability to </w:t>
      </w:r>
      <w:r w:rsidR="00B17A2E">
        <w:rPr>
          <w:rFonts w:ascii="Times New Roman" w:hAnsi="Times New Roman" w:cs="Times New Roman"/>
          <w:sz w:val="24"/>
          <w:szCs w:val="24"/>
        </w:rPr>
        <w:lastRenderedPageBreak/>
        <w:t>inhibit conflict diffusion than major powers</w:t>
      </w:r>
      <w:r w:rsidR="006F0615">
        <w:rPr>
          <w:rFonts w:ascii="Times New Roman" w:hAnsi="Times New Roman" w:cs="Times New Roman"/>
          <w:sz w:val="24"/>
          <w:szCs w:val="24"/>
        </w:rPr>
        <w:t>.</w:t>
      </w:r>
      <w:r w:rsidR="005464E8">
        <w:rPr>
          <w:rFonts w:ascii="Times New Roman" w:hAnsi="Times New Roman" w:cs="Times New Roman"/>
          <w:sz w:val="24"/>
          <w:szCs w:val="24"/>
        </w:rPr>
        <w:t xml:space="preserve"> </w:t>
      </w:r>
      <w:r w:rsidR="006F0615">
        <w:rPr>
          <w:rFonts w:ascii="Times New Roman" w:hAnsi="Times New Roman" w:cs="Times New Roman"/>
          <w:sz w:val="24"/>
          <w:szCs w:val="24"/>
        </w:rPr>
        <w:t>Whereas our separate models predict similar levels of conflict diffusion in the absence of major or regional power hierarchy (0.484 and 0.456 respectively), the presence of a regional power “only” reduces this prediction to 0.315 whereas major powers reduce the prediction to 0.198.</w:t>
      </w:r>
      <w:r w:rsidR="005464E8">
        <w:rPr>
          <w:rFonts w:ascii="Times New Roman" w:hAnsi="Times New Roman" w:cs="Times New Roman"/>
          <w:sz w:val="24"/>
          <w:szCs w:val="24"/>
        </w:rPr>
        <w:t xml:space="preserve"> </w:t>
      </w:r>
      <w:r w:rsidR="006F0615">
        <w:rPr>
          <w:rFonts w:ascii="Times New Roman" w:hAnsi="Times New Roman" w:cs="Times New Roman"/>
          <w:sz w:val="24"/>
          <w:szCs w:val="24"/>
        </w:rPr>
        <w:t xml:space="preserve">Compared to the </w:t>
      </w:r>
      <w:r w:rsidR="00D25A61">
        <w:rPr>
          <w:rFonts w:ascii="Times New Roman" w:hAnsi="Times New Roman" w:cs="Times New Roman"/>
          <w:sz w:val="24"/>
          <w:szCs w:val="24"/>
        </w:rPr>
        <w:t xml:space="preserve">individual </w:t>
      </w:r>
      <w:r w:rsidR="006F0615">
        <w:rPr>
          <w:rFonts w:ascii="Times New Roman" w:hAnsi="Times New Roman" w:cs="Times New Roman"/>
          <w:sz w:val="24"/>
          <w:szCs w:val="24"/>
        </w:rPr>
        <w:t>effect of intra-regional rivalries</w:t>
      </w:r>
      <w:r w:rsidR="006F5A3B">
        <w:rPr>
          <w:rFonts w:ascii="Times New Roman" w:hAnsi="Times New Roman" w:cs="Times New Roman"/>
          <w:sz w:val="24"/>
          <w:szCs w:val="24"/>
        </w:rPr>
        <w:t xml:space="preserve"> on conflict diffusion</w:t>
      </w:r>
      <w:r w:rsidR="006F0615">
        <w:rPr>
          <w:rFonts w:ascii="Times New Roman" w:hAnsi="Times New Roman" w:cs="Times New Roman"/>
          <w:sz w:val="24"/>
          <w:szCs w:val="24"/>
        </w:rPr>
        <w:t xml:space="preserve">, the presence </w:t>
      </w:r>
      <w:r w:rsidR="00D25A61">
        <w:rPr>
          <w:rFonts w:ascii="Times New Roman" w:hAnsi="Times New Roman" w:cs="Times New Roman"/>
          <w:sz w:val="24"/>
          <w:szCs w:val="24"/>
        </w:rPr>
        <w:t xml:space="preserve">of </w:t>
      </w:r>
      <w:r w:rsidR="006F0615">
        <w:rPr>
          <w:rFonts w:ascii="Times New Roman" w:hAnsi="Times New Roman" w:cs="Times New Roman"/>
          <w:sz w:val="24"/>
          <w:szCs w:val="24"/>
        </w:rPr>
        <w:t>a regional power hierarchy in a region is equivalent to roughly the presence of two rivalries (0.333) and</w:t>
      </w:r>
      <w:r w:rsidR="00D25A61">
        <w:rPr>
          <w:rFonts w:ascii="Times New Roman" w:hAnsi="Times New Roman" w:cs="Times New Roman"/>
          <w:sz w:val="24"/>
          <w:szCs w:val="24"/>
        </w:rPr>
        <w:t xml:space="preserve"> the absence of a regional power hierarchy is equivalent to roughly</w:t>
      </w:r>
      <w:r w:rsidR="006F0615">
        <w:rPr>
          <w:rFonts w:ascii="Times New Roman" w:hAnsi="Times New Roman" w:cs="Times New Roman"/>
          <w:sz w:val="24"/>
          <w:szCs w:val="24"/>
        </w:rPr>
        <w:t xml:space="preserve"> between four (0.426) and five (0.472) rivalries.</w:t>
      </w:r>
      <w:r w:rsidR="005464E8">
        <w:rPr>
          <w:rFonts w:ascii="Times New Roman" w:hAnsi="Times New Roman" w:cs="Times New Roman"/>
          <w:sz w:val="24"/>
          <w:szCs w:val="24"/>
        </w:rPr>
        <w:t xml:space="preserve"> </w:t>
      </w:r>
      <w:r w:rsidR="003B403C">
        <w:rPr>
          <w:rFonts w:ascii="Times New Roman" w:hAnsi="Times New Roman" w:cs="Times New Roman"/>
          <w:sz w:val="24"/>
          <w:szCs w:val="24"/>
        </w:rPr>
        <w:t>Thus,</w:t>
      </w:r>
      <w:r w:rsidR="000135E4">
        <w:rPr>
          <w:rFonts w:ascii="Times New Roman" w:hAnsi="Times New Roman" w:cs="Times New Roman"/>
          <w:sz w:val="24"/>
          <w:szCs w:val="24"/>
        </w:rPr>
        <w:t xml:space="preserve"> hierarchy and rivalries </w:t>
      </w:r>
      <w:r w:rsidR="00380399">
        <w:rPr>
          <w:rFonts w:ascii="Times New Roman" w:hAnsi="Times New Roman" w:cs="Times New Roman"/>
          <w:sz w:val="24"/>
          <w:szCs w:val="24"/>
        </w:rPr>
        <w:t xml:space="preserve">both individually </w:t>
      </w:r>
      <w:r w:rsidR="005D33E8">
        <w:rPr>
          <w:rFonts w:ascii="Times New Roman" w:hAnsi="Times New Roman" w:cs="Times New Roman"/>
          <w:sz w:val="24"/>
          <w:szCs w:val="24"/>
        </w:rPr>
        <w:t xml:space="preserve">influence a </w:t>
      </w:r>
      <w:r w:rsidR="000135E4">
        <w:rPr>
          <w:rFonts w:ascii="Times New Roman" w:hAnsi="Times New Roman" w:cs="Times New Roman"/>
          <w:sz w:val="24"/>
          <w:szCs w:val="24"/>
        </w:rPr>
        <w:t xml:space="preserve">region’s conflict diffusion patterns, but regional powers </w:t>
      </w:r>
      <w:r w:rsidR="00825689">
        <w:rPr>
          <w:rFonts w:ascii="Times New Roman" w:hAnsi="Times New Roman" w:cs="Times New Roman"/>
          <w:sz w:val="24"/>
          <w:szCs w:val="24"/>
        </w:rPr>
        <w:t xml:space="preserve">appear to be </w:t>
      </w:r>
      <w:r w:rsidR="000135E4">
        <w:rPr>
          <w:rFonts w:ascii="Times New Roman" w:hAnsi="Times New Roman" w:cs="Times New Roman"/>
          <w:sz w:val="24"/>
          <w:szCs w:val="24"/>
        </w:rPr>
        <w:t>less capable of containing diffusion than major powers.</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5D668B" w:rsidRPr="00BF6FD3" w14:paraId="3E26BB92" w14:textId="77777777" w:rsidTr="00823E67">
        <w:trPr>
          <w:trHeight w:val="470"/>
          <w:jc w:val="center"/>
        </w:trPr>
        <w:tc>
          <w:tcPr>
            <w:tcW w:w="9360" w:type="dxa"/>
            <w:gridSpan w:val="2"/>
            <w:tcBorders>
              <w:bottom w:val="single" w:sz="4" w:space="0" w:color="auto"/>
            </w:tcBorders>
            <w:vAlign w:val="center"/>
          </w:tcPr>
          <w:p w14:paraId="10C05919" w14:textId="4F394ED0" w:rsidR="005D668B" w:rsidRPr="00BF6FD3" w:rsidRDefault="005D668B" w:rsidP="00825689">
            <w:pPr>
              <w:rPr>
                <w:rFonts w:eastAsia="Calibri"/>
                <w:b/>
              </w:rPr>
            </w:pPr>
            <w:r w:rsidRPr="00BF6FD3">
              <w:rPr>
                <w:rFonts w:eastAsia="Calibri"/>
                <w:b/>
              </w:rPr>
              <w:t xml:space="preserve">Figure </w:t>
            </w:r>
            <w:r w:rsidR="00825689">
              <w:rPr>
                <w:rFonts w:eastAsia="Calibri"/>
                <w:b/>
              </w:rPr>
              <w:t>7</w:t>
            </w:r>
            <w:r w:rsidRPr="00BF6FD3">
              <w:rPr>
                <w:rFonts w:eastAsia="Calibri"/>
                <w:b/>
              </w:rPr>
              <w:t xml:space="preserve">: Marginal Effect of Rivalries on Severe </w:t>
            </w:r>
            <w:r>
              <w:rPr>
                <w:rFonts w:eastAsia="Calibri"/>
                <w:b/>
              </w:rPr>
              <w:t xml:space="preserve">State </w:t>
            </w:r>
            <w:r w:rsidRPr="00BF6FD3">
              <w:rPr>
                <w:rFonts w:eastAsia="Calibri"/>
                <w:b/>
              </w:rPr>
              <w:t xml:space="preserve">MID </w:t>
            </w:r>
            <w:r>
              <w:rPr>
                <w:rFonts w:eastAsia="Calibri"/>
                <w:b/>
              </w:rPr>
              <w:t>Involvement by Hierarchy Types</w:t>
            </w:r>
          </w:p>
        </w:tc>
      </w:tr>
      <w:tr w:rsidR="005D668B" w:rsidRPr="00BF6FD3" w14:paraId="7801B906" w14:textId="77777777" w:rsidTr="00823E67">
        <w:trPr>
          <w:trHeight w:val="512"/>
          <w:jc w:val="center"/>
        </w:trPr>
        <w:tc>
          <w:tcPr>
            <w:tcW w:w="4680" w:type="dxa"/>
            <w:tcBorders>
              <w:top w:val="single" w:sz="4" w:space="0" w:color="auto"/>
            </w:tcBorders>
            <w:vAlign w:val="center"/>
          </w:tcPr>
          <w:p w14:paraId="6EF69F50" w14:textId="77777777" w:rsidR="005D668B" w:rsidRPr="00BF6FD3" w:rsidRDefault="005D668B" w:rsidP="00823E67">
            <w:pPr>
              <w:jc w:val="center"/>
              <w:rPr>
                <w:rFonts w:eastAsia="Calibri"/>
                <w:i/>
              </w:rPr>
            </w:pPr>
            <w:r w:rsidRPr="00BF6FD3">
              <w:rPr>
                <w:rFonts w:eastAsia="Calibri"/>
                <w:i/>
              </w:rPr>
              <w:t>Major Power Hierarchy</w:t>
            </w:r>
          </w:p>
        </w:tc>
        <w:tc>
          <w:tcPr>
            <w:tcW w:w="4680" w:type="dxa"/>
            <w:tcBorders>
              <w:top w:val="single" w:sz="4" w:space="0" w:color="auto"/>
            </w:tcBorders>
            <w:vAlign w:val="center"/>
          </w:tcPr>
          <w:p w14:paraId="064AA0A6" w14:textId="77777777" w:rsidR="005D668B" w:rsidRPr="00BF6FD3" w:rsidRDefault="005D668B" w:rsidP="00823E67">
            <w:pPr>
              <w:jc w:val="center"/>
              <w:rPr>
                <w:rFonts w:eastAsia="Calibri"/>
                <w:i/>
              </w:rPr>
            </w:pPr>
            <w:r w:rsidRPr="00BF6FD3">
              <w:rPr>
                <w:rFonts w:eastAsia="Calibri"/>
                <w:i/>
              </w:rPr>
              <w:t>Regional Power Hierarchy</w:t>
            </w:r>
          </w:p>
        </w:tc>
      </w:tr>
      <w:tr w:rsidR="005D668B" w:rsidRPr="00BF6FD3" w14:paraId="6B231194" w14:textId="77777777" w:rsidTr="00823E67">
        <w:trPr>
          <w:jc w:val="center"/>
        </w:trPr>
        <w:tc>
          <w:tcPr>
            <w:tcW w:w="4680" w:type="dxa"/>
            <w:vAlign w:val="center"/>
          </w:tcPr>
          <w:p w14:paraId="75240846" w14:textId="77777777" w:rsidR="005D668B" w:rsidRPr="00BF6FD3" w:rsidRDefault="005D668B" w:rsidP="00823E67">
            <w:pPr>
              <w:jc w:val="center"/>
              <w:rPr>
                <w:rFonts w:eastAsia="Calibri"/>
              </w:rPr>
            </w:pPr>
          </w:p>
          <w:p w14:paraId="025E5141" w14:textId="77777777" w:rsidR="005D668B" w:rsidRPr="00BF6FD3" w:rsidRDefault="005D668B" w:rsidP="00823E67">
            <w:pPr>
              <w:jc w:val="center"/>
              <w:rPr>
                <w:rFonts w:eastAsia="Calibri"/>
              </w:rPr>
            </w:pPr>
            <w:r w:rsidRPr="00BF6FD3">
              <w:rPr>
                <w:rFonts w:eastAsia="Calibri"/>
                <w:noProof/>
              </w:rPr>
              <w:drawing>
                <wp:inline distT="0" distB="0" distL="0" distR="0" wp14:anchorId="23FBA46B" wp14:editId="07DF627C">
                  <wp:extent cx="2514600"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14600" cy="1828800"/>
                          </a:xfrm>
                          <a:prstGeom prst="rect">
                            <a:avLst/>
                          </a:prstGeom>
                        </pic:spPr>
                      </pic:pic>
                    </a:graphicData>
                  </a:graphic>
                </wp:inline>
              </w:drawing>
            </w:r>
          </w:p>
        </w:tc>
        <w:tc>
          <w:tcPr>
            <w:tcW w:w="4680" w:type="dxa"/>
            <w:vAlign w:val="center"/>
          </w:tcPr>
          <w:p w14:paraId="775FECC6" w14:textId="77777777" w:rsidR="005D668B" w:rsidRPr="00BF6FD3" w:rsidRDefault="005D668B" w:rsidP="00823E67">
            <w:pPr>
              <w:jc w:val="center"/>
              <w:rPr>
                <w:rFonts w:eastAsia="Calibri"/>
              </w:rPr>
            </w:pPr>
          </w:p>
          <w:p w14:paraId="360B50AF" w14:textId="77777777" w:rsidR="005D668B" w:rsidRPr="00BF6FD3" w:rsidRDefault="005D668B" w:rsidP="00823E67">
            <w:pPr>
              <w:jc w:val="center"/>
              <w:rPr>
                <w:rFonts w:eastAsia="Calibri"/>
              </w:rPr>
            </w:pPr>
            <w:r w:rsidRPr="00BF6FD3">
              <w:rPr>
                <w:rFonts w:eastAsia="Calibri"/>
                <w:noProof/>
              </w:rPr>
              <w:drawing>
                <wp:inline distT="0" distB="0" distL="0" distR="0" wp14:anchorId="1FD1D8B6" wp14:editId="5073714B">
                  <wp:extent cx="2514600" cy="18288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514600" cy="1828800"/>
                          </a:xfrm>
                          <a:prstGeom prst="rect">
                            <a:avLst/>
                          </a:prstGeom>
                          <a:noFill/>
                          <a:ln>
                            <a:noFill/>
                          </a:ln>
                        </pic:spPr>
                      </pic:pic>
                    </a:graphicData>
                  </a:graphic>
                </wp:inline>
              </w:drawing>
            </w:r>
          </w:p>
        </w:tc>
      </w:tr>
      <w:tr w:rsidR="005D668B" w:rsidRPr="00BF6FD3" w14:paraId="78F32C69" w14:textId="77777777" w:rsidTr="00823E67">
        <w:trPr>
          <w:trHeight w:val="216"/>
          <w:jc w:val="center"/>
        </w:trPr>
        <w:tc>
          <w:tcPr>
            <w:tcW w:w="4680" w:type="dxa"/>
            <w:tcBorders>
              <w:bottom w:val="single" w:sz="4" w:space="0" w:color="auto"/>
            </w:tcBorders>
            <w:vAlign w:val="center"/>
          </w:tcPr>
          <w:p w14:paraId="3B6649F6" w14:textId="77777777" w:rsidR="005D668B" w:rsidRPr="00BF6FD3" w:rsidRDefault="005D668B" w:rsidP="00823E67">
            <w:pPr>
              <w:jc w:val="center"/>
              <w:rPr>
                <w:rFonts w:eastAsia="Calibri"/>
              </w:rPr>
            </w:pPr>
          </w:p>
        </w:tc>
        <w:tc>
          <w:tcPr>
            <w:tcW w:w="4680" w:type="dxa"/>
            <w:tcBorders>
              <w:bottom w:val="single" w:sz="4" w:space="0" w:color="auto"/>
            </w:tcBorders>
            <w:vAlign w:val="center"/>
          </w:tcPr>
          <w:p w14:paraId="5E302B1F" w14:textId="77777777" w:rsidR="005D668B" w:rsidRPr="00BF6FD3" w:rsidRDefault="005D668B" w:rsidP="00823E67">
            <w:pPr>
              <w:jc w:val="center"/>
              <w:rPr>
                <w:rFonts w:eastAsia="Calibri"/>
              </w:rPr>
            </w:pPr>
          </w:p>
        </w:tc>
      </w:tr>
    </w:tbl>
    <w:p w14:paraId="156CAEAA" w14:textId="77777777" w:rsidR="005D668B" w:rsidRDefault="005D668B" w:rsidP="00825689">
      <w:pPr>
        <w:spacing w:line="480" w:lineRule="auto"/>
        <w:ind w:right="-360"/>
        <w:rPr>
          <w:rFonts w:ascii="Times New Roman" w:hAnsi="Times New Roman" w:cs="Times New Roman"/>
          <w:sz w:val="24"/>
          <w:szCs w:val="24"/>
        </w:rPr>
      </w:pPr>
    </w:p>
    <w:p w14:paraId="2E14EB7C" w14:textId="48A1564B" w:rsidR="0051020C" w:rsidRDefault="00380399" w:rsidP="00825689">
      <w:pPr>
        <w:spacing w:line="480" w:lineRule="auto"/>
        <w:ind w:right="-360"/>
        <w:rPr>
          <w:rFonts w:ascii="Times New Roman" w:hAnsi="Times New Roman" w:cs="Times New Roman"/>
          <w:sz w:val="24"/>
          <w:szCs w:val="24"/>
        </w:rPr>
      </w:pPr>
      <w:r>
        <w:rPr>
          <w:rFonts w:ascii="Times New Roman" w:hAnsi="Times New Roman" w:cs="Times New Roman"/>
          <w:sz w:val="24"/>
          <w:szCs w:val="24"/>
        </w:rPr>
        <w:tab/>
        <w:t>Figure</w:t>
      </w:r>
      <w:r w:rsidR="00825689">
        <w:rPr>
          <w:rFonts w:ascii="Times New Roman" w:hAnsi="Times New Roman" w:cs="Times New Roman"/>
          <w:sz w:val="24"/>
          <w:szCs w:val="24"/>
        </w:rPr>
        <w:t xml:space="preserve"> 7</w:t>
      </w:r>
      <w:r>
        <w:rPr>
          <w:rFonts w:ascii="Times New Roman" w:hAnsi="Times New Roman" w:cs="Times New Roman"/>
          <w:sz w:val="24"/>
          <w:szCs w:val="24"/>
        </w:rPr>
        <w:t xml:space="preserve"> further elaborates on the differences between major and regional powers’ abilities to contain diffusion by plotting the effect of intra-regional rivalries on conflict diffusion by hierarchy type.</w:t>
      </w:r>
      <w:r w:rsidR="005464E8">
        <w:rPr>
          <w:rFonts w:ascii="Times New Roman" w:hAnsi="Times New Roman" w:cs="Times New Roman"/>
          <w:sz w:val="24"/>
          <w:szCs w:val="24"/>
        </w:rPr>
        <w:t xml:space="preserve"> </w:t>
      </w:r>
      <w:r w:rsidR="005D33E8">
        <w:rPr>
          <w:rFonts w:ascii="Times New Roman" w:hAnsi="Times New Roman" w:cs="Times New Roman"/>
          <w:sz w:val="24"/>
          <w:szCs w:val="24"/>
        </w:rPr>
        <w:t>Similar to previous results, major power hierarchies (left panel) are almost always distinguishable from regions without hierarchy in terms of their ability to mitigate conflict diffusion.</w:t>
      </w:r>
      <w:r w:rsidR="005464E8">
        <w:rPr>
          <w:rFonts w:ascii="Times New Roman" w:hAnsi="Times New Roman" w:cs="Times New Roman"/>
          <w:sz w:val="24"/>
          <w:szCs w:val="24"/>
        </w:rPr>
        <w:t xml:space="preserve"> </w:t>
      </w:r>
      <w:r w:rsidR="005D33E8">
        <w:rPr>
          <w:rFonts w:ascii="Times New Roman" w:hAnsi="Times New Roman" w:cs="Times New Roman"/>
          <w:sz w:val="24"/>
          <w:szCs w:val="24"/>
        </w:rPr>
        <w:t>The same cannot be said for regional power hierarchies (right panel).</w:t>
      </w:r>
      <w:r w:rsidR="005464E8">
        <w:rPr>
          <w:rFonts w:ascii="Times New Roman" w:hAnsi="Times New Roman" w:cs="Times New Roman"/>
          <w:sz w:val="24"/>
          <w:szCs w:val="24"/>
        </w:rPr>
        <w:t xml:space="preserve"> </w:t>
      </w:r>
      <w:r w:rsidR="005D33E8">
        <w:rPr>
          <w:rFonts w:ascii="Times New Roman" w:hAnsi="Times New Roman" w:cs="Times New Roman"/>
          <w:sz w:val="24"/>
          <w:szCs w:val="24"/>
        </w:rPr>
        <w:t xml:space="preserve">Regional power hierarchies are </w:t>
      </w:r>
      <w:r w:rsidR="005D33E8">
        <w:rPr>
          <w:rFonts w:ascii="Times New Roman" w:hAnsi="Times New Roman" w:cs="Times New Roman"/>
          <w:sz w:val="24"/>
          <w:szCs w:val="24"/>
        </w:rPr>
        <w:lastRenderedPageBreak/>
        <w:t xml:space="preserve">only distinguishable from non-hierarchical regions in a narrow range of intra-regional rivalries in the lower half of our </w:t>
      </w:r>
      <w:r w:rsidR="0010239A">
        <w:rPr>
          <w:rFonts w:ascii="Times New Roman" w:hAnsi="Times New Roman" w:cs="Times New Roman"/>
          <w:sz w:val="24"/>
          <w:szCs w:val="24"/>
        </w:rPr>
        <w:t>observed intra-regional rivalry counts</w:t>
      </w:r>
      <w:r w:rsidR="005D33E8">
        <w:rPr>
          <w:rFonts w:ascii="Times New Roman" w:hAnsi="Times New Roman" w:cs="Times New Roman"/>
          <w:sz w:val="24"/>
          <w:szCs w:val="24"/>
        </w:rPr>
        <w:t>.</w:t>
      </w:r>
    </w:p>
    <w:p w14:paraId="55A354E6" w14:textId="65FD28C0" w:rsidR="00487CA1" w:rsidRPr="00487CA1" w:rsidRDefault="00487CA1" w:rsidP="005464E8">
      <w:pPr>
        <w:spacing w:line="480" w:lineRule="auto"/>
        <w:ind w:right="-360"/>
        <w:outlineLvl w:val="0"/>
        <w:rPr>
          <w:rFonts w:ascii="Times New Roman" w:hAnsi="Times New Roman" w:cs="Times New Roman"/>
          <w:b/>
          <w:i/>
          <w:sz w:val="24"/>
          <w:szCs w:val="24"/>
        </w:rPr>
      </w:pPr>
      <w:r w:rsidRPr="00487CA1">
        <w:rPr>
          <w:rFonts w:ascii="Times New Roman" w:hAnsi="Times New Roman" w:cs="Times New Roman"/>
          <w:b/>
          <w:i/>
          <w:sz w:val="24"/>
          <w:szCs w:val="24"/>
        </w:rPr>
        <w:t>What Is So Unique About the Middle East?</w:t>
      </w:r>
    </w:p>
    <w:p w14:paraId="0B3075A2" w14:textId="3D008648" w:rsidR="00462E26" w:rsidRDefault="00462E26" w:rsidP="00C83D17">
      <w:pPr>
        <w:spacing w:line="480" w:lineRule="auto"/>
        <w:ind w:right="-360" w:firstLine="720"/>
        <w:rPr>
          <w:rFonts w:ascii="Times New Roman" w:hAnsi="Times New Roman" w:cs="Times New Roman"/>
          <w:sz w:val="24"/>
          <w:szCs w:val="24"/>
        </w:rPr>
      </w:pPr>
      <w:r>
        <w:rPr>
          <w:rFonts w:ascii="Times New Roman" w:hAnsi="Times New Roman" w:cs="Times New Roman"/>
          <w:sz w:val="24"/>
          <w:szCs w:val="24"/>
        </w:rPr>
        <w:t xml:space="preserve">Recall that we are interested in assessing why some regions (and especially the Middle East) are </w:t>
      </w:r>
      <w:r w:rsidR="003F1577">
        <w:rPr>
          <w:rFonts w:ascii="Times New Roman" w:hAnsi="Times New Roman" w:cs="Times New Roman"/>
          <w:sz w:val="24"/>
          <w:szCs w:val="24"/>
        </w:rPr>
        <w:t xml:space="preserve">unusually </w:t>
      </w:r>
      <w:r>
        <w:rPr>
          <w:rFonts w:ascii="Times New Roman" w:hAnsi="Times New Roman" w:cs="Times New Roman"/>
          <w:sz w:val="24"/>
          <w:szCs w:val="24"/>
        </w:rPr>
        <w:t>conflict</w:t>
      </w:r>
      <w:r w:rsidR="00A86788">
        <w:rPr>
          <w:rFonts w:ascii="Times New Roman" w:hAnsi="Times New Roman" w:cs="Times New Roman"/>
          <w:sz w:val="24"/>
          <w:szCs w:val="24"/>
        </w:rPr>
        <w:t>-</w:t>
      </w:r>
      <w:r>
        <w:rPr>
          <w:rFonts w:ascii="Times New Roman" w:hAnsi="Times New Roman" w:cs="Times New Roman"/>
          <w:sz w:val="24"/>
          <w:szCs w:val="24"/>
        </w:rPr>
        <w:t>prone.</w:t>
      </w:r>
      <w:r w:rsidR="005464E8">
        <w:rPr>
          <w:rFonts w:ascii="Times New Roman" w:hAnsi="Times New Roman" w:cs="Times New Roman"/>
          <w:sz w:val="24"/>
          <w:szCs w:val="24"/>
        </w:rPr>
        <w:t xml:space="preserve"> </w:t>
      </w:r>
      <w:r>
        <w:rPr>
          <w:rFonts w:ascii="Times New Roman" w:hAnsi="Times New Roman" w:cs="Times New Roman"/>
          <w:sz w:val="24"/>
          <w:szCs w:val="24"/>
        </w:rPr>
        <w:t xml:space="preserve">This interest requires first </w:t>
      </w:r>
      <w:r w:rsidR="003F1577">
        <w:rPr>
          <w:rFonts w:ascii="Times New Roman" w:hAnsi="Times New Roman" w:cs="Times New Roman"/>
          <w:sz w:val="24"/>
          <w:szCs w:val="24"/>
        </w:rPr>
        <w:t>answering</w:t>
      </w:r>
      <w:r>
        <w:rPr>
          <w:rFonts w:ascii="Times New Roman" w:hAnsi="Times New Roman" w:cs="Times New Roman"/>
          <w:sz w:val="24"/>
          <w:szCs w:val="24"/>
        </w:rPr>
        <w:t xml:space="preserve"> another, earlier question: what would constitute a unique region </w:t>
      </w:r>
      <w:r w:rsidR="001065CE">
        <w:rPr>
          <w:rFonts w:ascii="Times New Roman" w:hAnsi="Times New Roman" w:cs="Times New Roman"/>
          <w:sz w:val="24"/>
          <w:szCs w:val="24"/>
        </w:rPr>
        <w:t xml:space="preserve">from the perspective of comparative regional analysis? </w:t>
      </w:r>
      <w:r>
        <w:rPr>
          <w:rFonts w:ascii="Times New Roman" w:hAnsi="Times New Roman" w:cs="Times New Roman"/>
          <w:sz w:val="24"/>
          <w:szCs w:val="24"/>
        </w:rPr>
        <w:t>From the standpoint of our framework, the Middle East ticks all the boxes associated with a high conflict region. In terms of the region’s fault lines, the Middle East ranks high on numbers of interstate rivalries, Middle Eastern states often experience civil wars, and disputed territorial claims exist among states in the Middle East. In terms of pacifying conditions, the Middle East offers few: its members do not rank high on IGO membership compared to other regions; its states are not highly interdependent in terms of their trade relationships; and there are virtually no democracies in the region. With respect to its permeability to global forces, the Middle East was an active theater during the Cold War, and remains externally penetrated by major powers today – particularly still by the U.S., and Russia – as well as by, in the least, lesser but allied participants of the U.S.-led War on Terror. With respect to the possibility that the presence of a hierarchy might dampen conflict, the Middle East contains aspirants but no dominant major or regional power.</w:t>
      </w:r>
      <w:r w:rsidR="00A03273">
        <w:rPr>
          <w:rFonts w:ascii="Times New Roman" w:hAnsi="Times New Roman" w:cs="Times New Roman"/>
          <w:sz w:val="24"/>
          <w:szCs w:val="24"/>
        </w:rPr>
        <w:tab/>
      </w:r>
    </w:p>
    <w:p w14:paraId="7FC43329" w14:textId="46BDCCA6" w:rsidR="00CC50F9" w:rsidRDefault="00C83D17" w:rsidP="005424F0">
      <w:pPr>
        <w:spacing w:line="480" w:lineRule="auto"/>
        <w:ind w:right="-360" w:firstLine="720"/>
        <w:rPr>
          <w:rFonts w:ascii="Times New Roman" w:hAnsi="Times New Roman" w:cs="Times New Roman"/>
          <w:sz w:val="24"/>
          <w:szCs w:val="24"/>
        </w:rPr>
      </w:pPr>
      <w:r>
        <w:rPr>
          <w:rFonts w:ascii="Times New Roman" w:hAnsi="Times New Roman" w:cs="Times New Roman"/>
          <w:sz w:val="24"/>
          <w:szCs w:val="24"/>
        </w:rPr>
        <w:t xml:space="preserve">Consistent with </w:t>
      </w:r>
      <w:r w:rsidR="00B93356">
        <w:rPr>
          <w:rFonts w:ascii="Times New Roman" w:hAnsi="Times New Roman" w:cs="Times New Roman"/>
          <w:sz w:val="24"/>
          <w:szCs w:val="24"/>
        </w:rPr>
        <w:t>our theoretical framework we would expect this combination of circumstances to predict a region of ongoing, substantial intra-regional conflict</w:t>
      </w:r>
      <w:r w:rsidR="005501C0">
        <w:rPr>
          <w:rFonts w:ascii="Times New Roman" w:hAnsi="Times New Roman" w:cs="Times New Roman"/>
          <w:sz w:val="24"/>
          <w:szCs w:val="24"/>
        </w:rPr>
        <w:t>. Indeed,</w:t>
      </w:r>
      <w:r w:rsidR="003F1577">
        <w:rPr>
          <w:rFonts w:ascii="Times New Roman" w:hAnsi="Times New Roman" w:cs="Times New Roman"/>
          <w:sz w:val="24"/>
          <w:szCs w:val="24"/>
        </w:rPr>
        <w:t xml:space="preserve"> </w:t>
      </w:r>
      <w:r w:rsidR="005501C0">
        <w:rPr>
          <w:rFonts w:ascii="Times New Roman" w:hAnsi="Times New Roman" w:cs="Times New Roman"/>
          <w:sz w:val="24"/>
          <w:szCs w:val="24"/>
        </w:rPr>
        <w:t>apart from</w:t>
      </w:r>
      <w:r w:rsidR="00B93356">
        <w:rPr>
          <w:rFonts w:ascii="Times New Roman" w:hAnsi="Times New Roman" w:cs="Times New Roman"/>
          <w:sz w:val="24"/>
          <w:szCs w:val="24"/>
        </w:rPr>
        <w:t xml:space="preserve"> the Central African region during the 2000s</w:t>
      </w:r>
      <w:r w:rsidR="003F1577">
        <w:rPr>
          <w:rFonts w:ascii="Times New Roman" w:hAnsi="Times New Roman" w:cs="Times New Roman"/>
          <w:sz w:val="24"/>
          <w:szCs w:val="24"/>
        </w:rPr>
        <w:t xml:space="preserve">, </w:t>
      </w:r>
      <w:r w:rsidR="00B93356">
        <w:rPr>
          <w:rFonts w:ascii="Times New Roman" w:hAnsi="Times New Roman" w:cs="Times New Roman"/>
          <w:sz w:val="24"/>
          <w:szCs w:val="24"/>
        </w:rPr>
        <w:t xml:space="preserve">the Middle East is the most conflictual of all regions in </w:t>
      </w:r>
      <w:r w:rsidR="00B93356">
        <w:rPr>
          <w:rFonts w:ascii="Times New Roman" w:hAnsi="Times New Roman" w:cs="Times New Roman"/>
          <w:sz w:val="24"/>
          <w:szCs w:val="24"/>
        </w:rPr>
        <w:lastRenderedPageBreak/>
        <w:t xml:space="preserve">world politics. </w:t>
      </w:r>
      <w:r w:rsidR="005424F0">
        <w:rPr>
          <w:rFonts w:ascii="Times New Roman" w:hAnsi="Times New Roman" w:cs="Times New Roman"/>
          <w:sz w:val="24"/>
          <w:szCs w:val="24"/>
        </w:rPr>
        <w:t>I</w:t>
      </w:r>
      <w:r w:rsidR="00B93356">
        <w:rPr>
          <w:rFonts w:ascii="Times New Roman" w:hAnsi="Times New Roman" w:cs="Times New Roman"/>
          <w:sz w:val="24"/>
          <w:szCs w:val="24"/>
        </w:rPr>
        <w:t>n this sense</w:t>
      </w:r>
      <w:r w:rsidR="005424F0">
        <w:rPr>
          <w:rFonts w:ascii="Times New Roman" w:hAnsi="Times New Roman" w:cs="Times New Roman"/>
          <w:sz w:val="24"/>
          <w:szCs w:val="24"/>
        </w:rPr>
        <w:t>, the Middle East is an outlier among regions, and thus unique</w:t>
      </w:r>
      <w:r w:rsidR="00B93356">
        <w:rPr>
          <w:rFonts w:ascii="Times New Roman" w:hAnsi="Times New Roman" w:cs="Times New Roman"/>
          <w:sz w:val="24"/>
          <w:szCs w:val="24"/>
        </w:rPr>
        <w:t xml:space="preserve"> by both its perfor</w:t>
      </w:r>
      <w:r w:rsidR="00B5504B">
        <w:rPr>
          <w:rFonts w:ascii="Times New Roman" w:hAnsi="Times New Roman" w:cs="Times New Roman"/>
          <w:sz w:val="24"/>
          <w:szCs w:val="24"/>
        </w:rPr>
        <w:t>mance on our dependent variable</w:t>
      </w:r>
      <w:r w:rsidR="00B93356">
        <w:rPr>
          <w:rFonts w:ascii="Times New Roman" w:hAnsi="Times New Roman" w:cs="Times New Roman"/>
          <w:sz w:val="24"/>
          <w:szCs w:val="24"/>
        </w:rPr>
        <w:t xml:space="preserve"> and its performance on our key independent variables.</w:t>
      </w:r>
      <w:r w:rsidR="00B93356">
        <w:rPr>
          <w:rStyle w:val="FootnoteReference"/>
          <w:rFonts w:ascii="Times New Roman" w:hAnsi="Times New Roman" w:cs="Times New Roman"/>
          <w:sz w:val="24"/>
          <w:szCs w:val="24"/>
        </w:rPr>
        <w:footnoteReference w:id="15"/>
      </w:r>
    </w:p>
    <w:p w14:paraId="789ABE5A" w14:textId="211B1CCA" w:rsidR="000C41AF" w:rsidRDefault="000C41AF" w:rsidP="000C41AF">
      <w:pPr>
        <w:spacing w:line="480" w:lineRule="auto"/>
        <w:ind w:right="-360" w:firstLine="720"/>
        <w:rPr>
          <w:rFonts w:ascii="Times New Roman" w:hAnsi="Times New Roman" w:cs="Times New Roman"/>
          <w:sz w:val="24"/>
          <w:szCs w:val="24"/>
        </w:rPr>
      </w:pPr>
      <w:r>
        <w:rPr>
          <w:rFonts w:ascii="Times New Roman" w:hAnsi="Times New Roman" w:cs="Times New Roman"/>
          <w:sz w:val="24"/>
          <w:szCs w:val="24"/>
        </w:rPr>
        <w:t>Being an outlier does not necessarily create uniqueness however; there may be several outliers and for similar reasons. Another way of looking at the notion of uniqueness is to ask whether the region exhibits some pattern associated with conflict that make</w:t>
      </w:r>
      <w:r w:rsidR="00A86788">
        <w:rPr>
          <w:rFonts w:ascii="Times New Roman" w:hAnsi="Times New Roman" w:cs="Times New Roman"/>
          <w:sz w:val="24"/>
          <w:szCs w:val="24"/>
        </w:rPr>
        <w:t>s</w:t>
      </w:r>
      <w:r>
        <w:rPr>
          <w:rFonts w:ascii="Times New Roman" w:hAnsi="Times New Roman" w:cs="Times New Roman"/>
          <w:sz w:val="24"/>
          <w:szCs w:val="24"/>
        </w:rPr>
        <w:t xml:space="preserve"> it distinctly different from other regions.</w:t>
      </w:r>
      <w:r w:rsidR="005464E8">
        <w:rPr>
          <w:rFonts w:ascii="Times New Roman" w:hAnsi="Times New Roman" w:cs="Times New Roman"/>
          <w:sz w:val="24"/>
          <w:szCs w:val="24"/>
        </w:rPr>
        <w:t xml:space="preserve"> </w:t>
      </w:r>
      <w:r>
        <w:rPr>
          <w:rFonts w:ascii="Times New Roman" w:hAnsi="Times New Roman" w:cs="Times New Roman"/>
          <w:sz w:val="24"/>
          <w:szCs w:val="24"/>
        </w:rPr>
        <w:t>The clear candidate in this volume is inter-state rivalries. While we caution that it is not the only, and perhaps not even necessarily the dominant driver of conflict relations (as suggested by Tables 2 and 3</w:t>
      </w:r>
      <w:r w:rsidR="008F263E">
        <w:rPr>
          <w:rFonts w:ascii="Times New Roman" w:hAnsi="Times New Roman" w:cs="Times New Roman"/>
          <w:sz w:val="24"/>
          <w:szCs w:val="24"/>
        </w:rPr>
        <w:t>, and the accompanying figures</w:t>
      </w:r>
      <w:r>
        <w:rPr>
          <w:rFonts w:ascii="Times New Roman" w:hAnsi="Times New Roman" w:cs="Times New Roman"/>
          <w:sz w:val="24"/>
          <w:szCs w:val="24"/>
        </w:rPr>
        <w:t>), an unusually high density of inter-state regional rivalries can threaten to overwhelm a region, especially in the absence of a dominant power in the region seeking order and stability. This is precisely what we find in the Middle East.</w:t>
      </w:r>
    </w:p>
    <w:p w14:paraId="3566C9AA" w14:textId="2D30EBC6" w:rsidR="00876829" w:rsidRDefault="00AF5735" w:rsidP="00C83D17">
      <w:pPr>
        <w:spacing w:line="480" w:lineRule="auto"/>
        <w:ind w:right="-360" w:firstLine="720"/>
        <w:rPr>
          <w:rFonts w:ascii="Times New Roman" w:hAnsi="Times New Roman" w:cs="Times New Roman"/>
          <w:sz w:val="24"/>
          <w:szCs w:val="24"/>
        </w:rPr>
      </w:pPr>
      <w:r>
        <w:rPr>
          <w:rFonts w:ascii="Times New Roman" w:hAnsi="Times New Roman" w:cs="Times New Roman"/>
          <w:sz w:val="24"/>
          <w:szCs w:val="24"/>
        </w:rPr>
        <w:t xml:space="preserve">Figure </w:t>
      </w:r>
      <w:r w:rsidR="008F2613">
        <w:rPr>
          <w:rFonts w:ascii="Times New Roman" w:hAnsi="Times New Roman" w:cs="Times New Roman"/>
          <w:sz w:val="24"/>
          <w:szCs w:val="24"/>
        </w:rPr>
        <w:t>8</w:t>
      </w:r>
      <w:r>
        <w:rPr>
          <w:rFonts w:ascii="Times New Roman" w:hAnsi="Times New Roman" w:cs="Times New Roman"/>
          <w:sz w:val="24"/>
          <w:szCs w:val="24"/>
        </w:rPr>
        <w:t xml:space="preserve"> illustrates the average density scores for Middle East states in rivalries, compared to the average of all other regions and the next highest region exhibiting interstate rivalries. Although these data exhibit the mean scores over a large period of time (195</w:t>
      </w:r>
      <w:r w:rsidR="00636BD8">
        <w:rPr>
          <w:rFonts w:ascii="Times New Roman" w:hAnsi="Times New Roman" w:cs="Times New Roman"/>
          <w:sz w:val="24"/>
          <w:szCs w:val="24"/>
        </w:rPr>
        <w:t>1</w:t>
      </w:r>
      <w:r>
        <w:rPr>
          <w:rFonts w:ascii="Times New Roman" w:hAnsi="Times New Roman" w:cs="Times New Roman"/>
          <w:sz w:val="24"/>
          <w:szCs w:val="24"/>
        </w:rPr>
        <w:t xml:space="preserve">-2010), and control for </w:t>
      </w:r>
      <w:r w:rsidR="000C41AF">
        <w:rPr>
          <w:rFonts w:ascii="Times New Roman" w:hAnsi="Times New Roman" w:cs="Times New Roman"/>
          <w:sz w:val="24"/>
          <w:szCs w:val="24"/>
        </w:rPr>
        <w:t xml:space="preserve">region </w:t>
      </w:r>
      <w:r>
        <w:rPr>
          <w:rFonts w:ascii="Times New Roman" w:hAnsi="Times New Roman" w:cs="Times New Roman"/>
          <w:sz w:val="24"/>
          <w:szCs w:val="24"/>
        </w:rPr>
        <w:t>size (number of states), the Middle East density scores are incomparably large compared to all other regions. Clearly, the region is unique with respect to the density of its interstate rivalries.</w:t>
      </w:r>
      <w:r w:rsidR="00876829">
        <w:rPr>
          <w:rStyle w:val="FootnoteReference"/>
          <w:rFonts w:ascii="Times New Roman" w:hAnsi="Times New Roman" w:cs="Times New Roman"/>
          <w:sz w:val="24"/>
          <w:szCs w:val="24"/>
        </w:rPr>
        <w:footnoteReference w:id="16"/>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608"/>
      </w:tblGrid>
      <w:tr w:rsidR="00C44401" w:rsidRPr="00BF6FD3" w14:paraId="77F7E4B8" w14:textId="77777777" w:rsidTr="00B30311">
        <w:trPr>
          <w:trHeight w:val="470"/>
          <w:jc w:val="center"/>
        </w:trPr>
        <w:tc>
          <w:tcPr>
            <w:tcW w:w="9360" w:type="dxa"/>
            <w:gridSpan w:val="2"/>
            <w:tcBorders>
              <w:bottom w:val="single" w:sz="4" w:space="0" w:color="auto"/>
            </w:tcBorders>
            <w:vAlign w:val="center"/>
          </w:tcPr>
          <w:p w14:paraId="602148EF" w14:textId="77777777" w:rsidR="00C44401" w:rsidRPr="00BF6FD3" w:rsidRDefault="00C44401" w:rsidP="00B30311">
            <w:pPr>
              <w:rPr>
                <w:rFonts w:eastAsia="Calibri"/>
                <w:b/>
              </w:rPr>
            </w:pPr>
            <w:r w:rsidRPr="004476EF">
              <w:rPr>
                <w:rFonts w:eastAsia="Calibri"/>
                <w:b/>
              </w:rPr>
              <w:t>Figure 8. Average Rivalry Density Scores for the Middle East versus Other Regions, 1951-2010.</w:t>
            </w:r>
          </w:p>
        </w:tc>
      </w:tr>
      <w:tr w:rsidR="00C44401" w:rsidRPr="00BF6FD3" w14:paraId="7F9189BB" w14:textId="77777777" w:rsidTr="00B30311">
        <w:trPr>
          <w:trHeight w:val="4616"/>
          <w:jc w:val="center"/>
        </w:trPr>
        <w:tc>
          <w:tcPr>
            <w:tcW w:w="9360" w:type="dxa"/>
            <w:gridSpan w:val="2"/>
            <w:vAlign w:val="center"/>
          </w:tcPr>
          <w:p w14:paraId="7C0E5642" w14:textId="77777777" w:rsidR="00C44401" w:rsidRPr="00BF6FD3" w:rsidRDefault="00C44401" w:rsidP="00DE1BBF">
            <w:pPr>
              <w:tabs>
                <w:tab w:val="left" w:pos="7370"/>
              </w:tabs>
              <w:jc w:val="center"/>
              <w:rPr>
                <w:rFonts w:eastAsia="Calibri"/>
              </w:rPr>
            </w:pPr>
          </w:p>
          <w:p w14:paraId="4D102613" w14:textId="77777777" w:rsidR="00C44401" w:rsidRPr="00BF6FD3" w:rsidRDefault="00C44401" w:rsidP="00DE1BBF">
            <w:pPr>
              <w:tabs>
                <w:tab w:val="left" w:pos="7370"/>
              </w:tabs>
              <w:jc w:val="center"/>
              <w:rPr>
                <w:rFonts w:eastAsia="Calibri"/>
              </w:rPr>
            </w:pPr>
            <w:r>
              <w:rPr>
                <w:noProof/>
              </w:rPr>
              <w:drawing>
                <wp:inline distT="0" distB="0" distL="0" distR="0" wp14:anchorId="0F9CA3E1" wp14:editId="0747AA16">
                  <wp:extent cx="5991225"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C44401" w:rsidRPr="00BF6FD3" w14:paraId="10FE8763" w14:textId="77777777" w:rsidTr="00B30311">
        <w:trPr>
          <w:trHeight w:val="216"/>
          <w:jc w:val="center"/>
        </w:trPr>
        <w:tc>
          <w:tcPr>
            <w:tcW w:w="4680" w:type="dxa"/>
            <w:tcBorders>
              <w:bottom w:val="single" w:sz="4" w:space="0" w:color="auto"/>
            </w:tcBorders>
            <w:vAlign w:val="center"/>
          </w:tcPr>
          <w:p w14:paraId="0D5DBB2E" w14:textId="77777777" w:rsidR="00C44401" w:rsidRPr="00BF6FD3" w:rsidRDefault="00C44401" w:rsidP="00B30311">
            <w:pPr>
              <w:jc w:val="center"/>
              <w:rPr>
                <w:rFonts w:eastAsia="Calibri"/>
              </w:rPr>
            </w:pPr>
          </w:p>
        </w:tc>
        <w:tc>
          <w:tcPr>
            <w:tcW w:w="4680" w:type="dxa"/>
            <w:tcBorders>
              <w:bottom w:val="single" w:sz="4" w:space="0" w:color="auto"/>
            </w:tcBorders>
            <w:vAlign w:val="center"/>
          </w:tcPr>
          <w:p w14:paraId="5FE28B15" w14:textId="77777777" w:rsidR="00C44401" w:rsidRPr="00BF6FD3" w:rsidRDefault="00C44401" w:rsidP="00B30311">
            <w:pPr>
              <w:jc w:val="center"/>
              <w:rPr>
                <w:rFonts w:eastAsia="Calibri"/>
              </w:rPr>
            </w:pPr>
          </w:p>
        </w:tc>
      </w:tr>
    </w:tbl>
    <w:p w14:paraId="012781F8" w14:textId="519BD8A6" w:rsidR="00446543" w:rsidRDefault="00446543" w:rsidP="00446543">
      <w:pPr>
        <w:spacing w:line="480" w:lineRule="auto"/>
        <w:ind w:right="-360"/>
        <w:rPr>
          <w:rFonts w:ascii="Times New Roman" w:hAnsi="Times New Roman" w:cs="Times New Roman"/>
          <w:sz w:val="24"/>
          <w:szCs w:val="24"/>
        </w:rPr>
      </w:pPr>
    </w:p>
    <w:p w14:paraId="2486A4E8" w14:textId="6305514E" w:rsidR="00AF5735" w:rsidRDefault="0083249D" w:rsidP="002865C4">
      <w:pPr>
        <w:spacing w:line="480" w:lineRule="auto"/>
        <w:ind w:right="-360"/>
        <w:rPr>
          <w:rFonts w:ascii="Times New Roman" w:hAnsi="Times New Roman" w:cs="Times New Roman"/>
          <w:sz w:val="24"/>
          <w:szCs w:val="24"/>
        </w:rPr>
      </w:pPr>
      <w:r>
        <w:rPr>
          <w:rFonts w:ascii="Times New Roman" w:hAnsi="Times New Roman" w:cs="Times New Roman"/>
          <w:sz w:val="24"/>
          <w:szCs w:val="24"/>
        </w:rPr>
        <w:tab/>
      </w:r>
      <w:r w:rsidR="00AF5735" w:rsidRPr="002314F5">
        <w:rPr>
          <w:rFonts w:ascii="Times New Roman" w:hAnsi="Times New Roman" w:cs="Times New Roman"/>
          <w:sz w:val="24"/>
          <w:szCs w:val="24"/>
        </w:rPr>
        <w:t xml:space="preserve">Figure </w:t>
      </w:r>
      <w:r w:rsidR="0053642D" w:rsidRPr="00D5621F">
        <w:rPr>
          <w:rFonts w:ascii="Times New Roman" w:hAnsi="Times New Roman" w:cs="Times New Roman"/>
          <w:sz w:val="24"/>
          <w:szCs w:val="24"/>
        </w:rPr>
        <w:t>9</w:t>
      </w:r>
      <w:r w:rsidR="00AF5735" w:rsidRPr="00D5621F">
        <w:rPr>
          <w:rFonts w:ascii="Times New Roman" w:hAnsi="Times New Roman" w:cs="Times New Roman"/>
          <w:sz w:val="24"/>
          <w:szCs w:val="24"/>
        </w:rPr>
        <w:t xml:space="preserve"> further underscores the uniqueness of the region. Not only is the rivalry field density incomparably high compared to other regions, most states are also actively involved in these rivalries, ranging from a low </w:t>
      </w:r>
      <w:r w:rsidR="005F4658" w:rsidRPr="00D5621F">
        <w:rPr>
          <w:rFonts w:ascii="Times New Roman" w:hAnsi="Times New Roman" w:cs="Times New Roman"/>
          <w:sz w:val="24"/>
          <w:szCs w:val="24"/>
        </w:rPr>
        <w:t xml:space="preserve">of </w:t>
      </w:r>
      <w:r w:rsidR="00D5621F" w:rsidRPr="005B4845">
        <w:rPr>
          <w:rFonts w:ascii="Times New Roman" w:hAnsi="Times New Roman" w:cs="Times New Roman"/>
          <w:sz w:val="24"/>
          <w:szCs w:val="24"/>
        </w:rPr>
        <w:t>55</w:t>
      </w:r>
      <w:r w:rsidR="00AF5735" w:rsidRPr="00D5621F">
        <w:rPr>
          <w:rFonts w:ascii="Times New Roman" w:hAnsi="Times New Roman" w:cs="Times New Roman"/>
          <w:sz w:val="24"/>
          <w:szCs w:val="24"/>
        </w:rPr>
        <w:t xml:space="preserve"> percent of all the region’s states, to over 90 percent of all states during the</w:t>
      </w:r>
      <w:r w:rsidR="00FC44A6" w:rsidRPr="00D5621F">
        <w:rPr>
          <w:rFonts w:ascii="Times New Roman" w:hAnsi="Times New Roman" w:cs="Times New Roman"/>
          <w:sz w:val="24"/>
          <w:szCs w:val="24"/>
        </w:rPr>
        <w:t xml:space="preserve"> late</w:t>
      </w:r>
      <w:r w:rsidR="00AF5735" w:rsidRPr="00D5621F">
        <w:rPr>
          <w:rFonts w:ascii="Times New Roman" w:hAnsi="Times New Roman" w:cs="Times New Roman"/>
          <w:sz w:val="24"/>
          <w:szCs w:val="24"/>
        </w:rPr>
        <w:t xml:space="preserve"> 1960s, and </w:t>
      </w:r>
      <w:r w:rsidR="00FC44A6" w:rsidRPr="00D5621F">
        <w:rPr>
          <w:rFonts w:ascii="Times New Roman" w:hAnsi="Times New Roman" w:cs="Times New Roman"/>
          <w:sz w:val="24"/>
          <w:szCs w:val="24"/>
        </w:rPr>
        <w:t xml:space="preserve">nearly 80 percent </w:t>
      </w:r>
      <w:r w:rsidR="00AF5735" w:rsidRPr="00D5621F">
        <w:rPr>
          <w:rFonts w:ascii="Times New Roman" w:hAnsi="Times New Roman" w:cs="Times New Roman"/>
          <w:sz w:val="24"/>
          <w:szCs w:val="24"/>
        </w:rPr>
        <w:t xml:space="preserve">of all states in the region during the </w:t>
      </w:r>
      <w:r w:rsidR="00FC44A6" w:rsidRPr="00D5621F">
        <w:rPr>
          <w:rFonts w:ascii="Times New Roman" w:hAnsi="Times New Roman" w:cs="Times New Roman"/>
          <w:sz w:val="24"/>
          <w:szCs w:val="24"/>
        </w:rPr>
        <w:t xml:space="preserve">late 1980s through the </w:t>
      </w:r>
      <w:r w:rsidR="00AF5735" w:rsidRPr="00D5621F">
        <w:rPr>
          <w:rFonts w:ascii="Times New Roman" w:hAnsi="Times New Roman" w:cs="Times New Roman"/>
          <w:sz w:val="24"/>
          <w:szCs w:val="24"/>
        </w:rPr>
        <w:t>1990s.</w:t>
      </w:r>
      <w:r w:rsidR="00FC44A6" w:rsidRPr="00D5621F">
        <w:rPr>
          <w:rFonts w:ascii="Times New Roman" w:hAnsi="Times New Roman" w:cs="Times New Roman"/>
          <w:sz w:val="24"/>
          <w:szCs w:val="24"/>
        </w:rPr>
        <w:t xml:space="preserve"> </w:t>
      </w:r>
      <w:r w:rsidR="0053642D" w:rsidRPr="00D5621F">
        <w:rPr>
          <w:rFonts w:ascii="Times New Roman" w:hAnsi="Times New Roman" w:cs="Times New Roman"/>
          <w:sz w:val="24"/>
          <w:szCs w:val="24"/>
        </w:rPr>
        <w:t>This was foreshadowed by the dashed line at 13.333 in Figures 2-3 and 5-6, which marks the Middle East’s average number of intra-regional rivalries in our models</w:t>
      </w:r>
      <w:r w:rsidR="003F1577">
        <w:rPr>
          <w:rFonts w:ascii="Times New Roman" w:hAnsi="Times New Roman" w:cs="Times New Roman"/>
          <w:sz w:val="24"/>
          <w:szCs w:val="24"/>
        </w:rPr>
        <w:t xml:space="preserve">; </w:t>
      </w:r>
      <w:r w:rsidR="00315DD9" w:rsidRPr="00D5621F">
        <w:rPr>
          <w:rFonts w:ascii="Times New Roman" w:hAnsi="Times New Roman" w:cs="Times New Roman"/>
          <w:sz w:val="24"/>
          <w:szCs w:val="24"/>
        </w:rPr>
        <w:t>the collective average of all other regions in our models hovers near two intra-regional rivalries.</w:t>
      </w:r>
      <w:r w:rsidR="00315DD9" w:rsidRPr="002314F5">
        <w:rPr>
          <w:rStyle w:val="FootnoteReference"/>
          <w:rFonts w:ascii="Times New Roman" w:hAnsi="Times New Roman" w:cs="Times New Roman"/>
          <w:sz w:val="24"/>
          <w:szCs w:val="24"/>
        </w:rPr>
        <w:footnoteReference w:id="17"/>
      </w:r>
    </w:p>
    <w:p w14:paraId="40C33CE7" w14:textId="6221E5DE" w:rsidR="00FA5E04" w:rsidRDefault="00FA5E04" w:rsidP="00FA5E04">
      <w:pPr>
        <w:spacing w:line="480" w:lineRule="auto"/>
        <w:ind w:right="-360" w:firstLine="720"/>
        <w:rPr>
          <w:rFonts w:ascii="Times New Roman" w:hAnsi="Times New Roman" w:cs="Times New Roman"/>
          <w:sz w:val="24"/>
          <w:szCs w:val="24"/>
        </w:rPr>
      </w:pPr>
      <w:r>
        <w:rPr>
          <w:rFonts w:ascii="Times New Roman" w:hAnsi="Times New Roman" w:cs="Times New Roman"/>
          <w:sz w:val="24"/>
          <w:szCs w:val="24"/>
        </w:rPr>
        <w:t>Until this point we have used a comparative delineation of regions as indicated above. However, in order to focus on changes to rivalries in the Middle East only, we now keep regional membership constant for the entire period.</w:t>
      </w:r>
      <w:r>
        <w:rPr>
          <w:rStyle w:val="FootnoteReference"/>
          <w:rFonts w:ascii="Times New Roman" w:hAnsi="Times New Roman" w:cs="Times New Roman"/>
          <w:sz w:val="24"/>
          <w:szCs w:val="24"/>
        </w:rPr>
        <w:footnoteReference w:id="18"/>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E1BBF" w:rsidRPr="00BF6FD3" w14:paraId="63EA0991" w14:textId="77777777" w:rsidTr="00B30311">
        <w:trPr>
          <w:trHeight w:val="470"/>
          <w:jc w:val="center"/>
        </w:trPr>
        <w:tc>
          <w:tcPr>
            <w:tcW w:w="9360" w:type="dxa"/>
            <w:gridSpan w:val="2"/>
            <w:tcBorders>
              <w:bottom w:val="single" w:sz="4" w:space="0" w:color="auto"/>
            </w:tcBorders>
            <w:vAlign w:val="center"/>
          </w:tcPr>
          <w:p w14:paraId="2D2E4A6D" w14:textId="77777777" w:rsidR="00DE1BBF" w:rsidRPr="00BF6FD3" w:rsidRDefault="00DE1BBF" w:rsidP="00B30311">
            <w:pPr>
              <w:rPr>
                <w:rFonts w:eastAsia="Calibri"/>
                <w:b/>
              </w:rPr>
            </w:pPr>
            <w:r w:rsidRPr="004476EF">
              <w:rPr>
                <w:rFonts w:eastAsia="Calibri"/>
                <w:b/>
                <w:bCs/>
              </w:rPr>
              <w:lastRenderedPageBreak/>
              <w:t>Figure 9. Percent of Middle East States Involved in Regional Rivalries, 1951-2015.</w:t>
            </w:r>
          </w:p>
        </w:tc>
      </w:tr>
      <w:tr w:rsidR="00DE1BBF" w:rsidRPr="00BF6FD3" w14:paraId="6C622D7F" w14:textId="77777777" w:rsidTr="00B30311">
        <w:trPr>
          <w:jc w:val="center"/>
        </w:trPr>
        <w:tc>
          <w:tcPr>
            <w:tcW w:w="9360" w:type="dxa"/>
            <w:gridSpan w:val="2"/>
            <w:vAlign w:val="center"/>
          </w:tcPr>
          <w:p w14:paraId="247DF4F1" w14:textId="77777777" w:rsidR="00DE1BBF" w:rsidRPr="00BF6FD3" w:rsidRDefault="00DE1BBF" w:rsidP="00B30311">
            <w:pPr>
              <w:jc w:val="center"/>
              <w:rPr>
                <w:rFonts w:eastAsia="Calibri"/>
              </w:rPr>
            </w:pPr>
          </w:p>
          <w:p w14:paraId="0F2A7F4C" w14:textId="77777777" w:rsidR="00DE1BBF" w:rsidRPr="00BF6FD3" w:rsidRDefault="00DE1BBF" w:rsidP="00B30311">
            <w:pPr>
              <w:jc w:val="center"/>
              <w:rPr>
                <w:rFonts w:eastAsia="Calibri"/>
              </w:rPr>
            </w:pPr>
            <w:r>
              <w:rPr>
                <w:noProof/>
              </w:rPr>
              <w:drawing>
                <wp:inline distT="0" distB="0" distL="0" distR="0" wp14:anchorId="02A41274" wp14:editId="6B649B91">
                  <wp:extent cx="5686425" cy="2838450"/>
                  <wp:effectExtent l="0" t="0" r="3175" b="6350"/>
                  <wp:docPr id="21" name="Chart 21">
                    <a:extLst xmlns:a="http://schemas.openxmlformats.org/drawingml/2006/main">
                      <a:ext uri="{FF2B5EF4-FFF2-40B4-BE49-F238E27FC236}">
                        <a16:creationId xmlns:a16="http://schemas.microsoft.com/office/drawing/2014/main" id="{3B5D9033-C93B-435A-B068-2F5C68617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DE1BBF" w:rsidRPr="00BF6FD3" w14:paraId="6F8CABB4" w14:textId="77777777" w:rsidTr="00B30311">
        <w:trPr>
          <w:trHeight w:val="216"/>
          <w:jc w:val="center"/>
        </w:trPr>
        <w:tc>
          <w:tcPr>
            <w:tcW w:w="4680" w:type="dxa"/>
            <w:tcBorders>
              <w:bottom w:val="single" w:sz="4" w:space="0" w:color="auto"/>
            </w:tcBorders>
            <w:vAlign w:val="center"/>
          </w:tcPr>
          <w:p w14:paraId="0D784565" w14:textId="77777777" w:rsidR="00DE1BBF" w:rsidRPr="00BF6FD3" w:rsidRDefault="00DE1BBF" w:rsidP="00B30311">
            <w:pPr>
              <w:jc w:val="center"/>
              <w:rPr>
                <w:rFonts w:eastAsia="Calibri"/>
              </w:rPr>
            </w:pPr>
          </w:p>
        </w:tc>
        <w:tc>
          <w:tcPr>
            <w:tcW w:w="4680" w:type="dxa"/>
            <w:tcBorders>
              <w:bottom w:val="single" w:sz="4" w:space="0" w:color="auto"/>
            </w:tcBorders>
            <w:vAlign w:val="center"/>
          </w:tcPr>
          <w:p w14:paraId="5A0AE8AA" w14:textId="77777777" w:rsidR="00DE1BBF" w:rsidRPr="00BF6FD3" w:rsidRDefault="00DE1BBF" w:rsidP="00B30311">
            <w:pPr>
              <w:jc w:val="center"/>
              <w:rPr>
                <w:rFonts w:eastAsia="Calibri"/>
              </w:rPr>
            </w:pPr>
          </w:p>
        </w:tc>
      </w:tr>
    </w:tbl>
    <w:p w14:paraId="3526DB03" w14:textId="50C8E43B" w:rsidR="003740CE" w:rsidRDefault="00D8519A" w:rsidP="00FA5E04">
      <w:pPr>
        <w:spacing w:line="480" w:lineRule="auto"/>
        <w:ind w:right="-360"/>
        <w:jc w:val="center"/>
        <w:rPr>
          <w:rFonts w:ascii="Times New Roman" w:hAnsi="Times New Roman" w:cs="Times New Roman"/>
          <w:sz w:val="24"/>
          <w:szCs w:val="24"/>
        </w:rPr>
      </w:pPr>
      <w:r w:rsidRPr="003740CE" w:rsidDel="00C41B4C">
        <w:rPr>
          <w:rFonts w:ascii="Times New Roman" w:hAnsi="Times New Roman" w:cs="Times New Roman"/>
          <w:noProof/>
          <w:sz w:val="24"/>
          <w:szCs w:val="24"/>
        </w:rPr>
        <w:t xml:space="preserve"> </w:t>
      </w:r>
    </w:p>
    <w:p w14:paraId="39D13BDF" w14:textId="672F866E" w:rsidR="00873F3B" w:rsidRDefault="003740CE" w:rsidP="008B70D0">
      <w:pPr>
        <w:spacing w:line="480" w:lineRule="auto"/>
        <w:ind w:right="-360"/>
        <w:rPr>
          <w:rFonts w:ascii="Times New Roman" w:hAnsi="Times New Roman" w:cs="Times New Roman"/>
          <w:sz w:val="24"/>
          <w:szCs w:val="24"/>
        </w:rPr>
      </w:pPr>
      <w:r>
        <w:rPr>
          <w:rFonts w:ascii="Times New Roman" w:hAnsi="Times New Roman" w:cs="Times New Roman"/>
          <w:sz w:val="24"/>
          <w:szCs w:val="24"/>
        </w:rPr>
        <w:tab/>
      </w:r>
      <w:r w:rsidR="00642895" w:rsidRPr="002314F5">
        <w:rPr>
          <w:rFonts w:ascii="Times New Roman" w:hAnsi="Times New Roman" w:cs="Times New Roman"/>
          <w:sz w:val="24"/>
          <w:szCs w:val="24"/>
        </w:rPr>
        <w:t xml:space="preserve">Note however the changing nature of the </w:t>
      </w:r>
      <w:r w:rsidR="003B1F8F" w:rsidRPr="00734B39">
        <w:rPr>
          <w:rFonts w:ascii="Times New Roman" w:hAnsi="Times New Roman" w:cs="Times New Roman"/>
          <w:sz w:val="24"/>
          <w:szCs w:val="24"/>
        </w:rPr>
        <w:t xml:space="preserve">Middle East </w:t>
      </w:r>
      <w:r w:rsidR="00642895" w:rsidRPr="00734B39">
        <w:rPr>
          <w:rFonts w:ascii="Times New Roman" w:hAnsi="Times New Roman" w:cs="Times New Roman"/>
          <w:sz w:val="24"/>
          <w:szCs w:val="24"/>
        </w:rPr>
        <w:t>rivalry field</w:t>
      </w:r>
      <w:r w:rsidR="00165C82" w:rsidRPr="00734B39">
        <w:rPr>
          <w:rFonts w:ascii="Times New Roman" w:hAnsi="Times New Roman" w:cs="Times New Roman"/>
          <w:sz w:val="24"/>
          <w:szCs w:val="24"/>
        </w:rPr>
        <w:t xml:space="preserve"> </w:t>
      </w:r>
      <w:r w:rsidR="003F1577">
        <w:rPr>
          <w:rFonts w:ascii="Times New Roman" w:hAnsi="Times New Roman" w:cs="Times New Roman"/>
          <w:sz w:val="24"/>
          <w:szCs w:val="24"/>
        </w:rPr>
        <w:t xml:space="preserve">along with some key changes regarding </w:t>
      </w:r>
      <w:r w:rsidR="00AF5735" w:rsidRPr="00734B39">
        <w:rPr>
          <w:rFonts w:ascii="Times New Roman" w:hAnsi="Times New Roman" w:cs="Times New Roman"/>
          <w:sz w:val="24"/>
          <w:szCs w:val="24"/>
        </w:rPr>
        <w:t xml:space="preserve">the </w:t>
      </w:r>
      <w:r w:rsidR="00642895" w:rsidRPr="00734B39">
        <w:rPr>
          <w:rFonts w:ascii="Times New Roman" w:hAnsi="Times New Roman" w:cs="Times New Roman"/>
          <w:sz w:val="24"/>
          <w:szCs w:val="24"/>
        </w:rPr>
        <w:t xml:space="preserve">state actors involved with </w:t>
      </w:r>
      <w:r w:rsidR="00165C82" w:rsidRPr="00734B39">
        <w:rPr>
          <w:rFonts w:ascii="Times New Roman" w:hAnsi="Times New Roman" w:cs="Times New Roman"/>
          <w:sz w:val="24"/>
          <w:szCs w:val="24"/>
        </w:rPr>
        <w:t>each period</w:t>
      </w:r>
      <w:r w:rsidR="00642895" w:rsidRPr="00734B39">
        <w:rPr>
          <w:rFonts w:ascii="Times New Roman" w:hAnsi="Times New Roman" w:cs="Times New Roman"/>
          <w:sz w:val="24"/>
          <w:szCs w:val="24"/>
        </w:rPr>
        <w:t xml:space="preserve">: </w:t>
      </w:r>
      <w:r w:rsidR="00B5504B" w:rsidRPr="00734B39">
        <w:rPr>
          <w:rFonts w:ascii="Times New Roman" w:hAnsi="Times New Roman" w:cs="Times New Roman"/>
          <w:sz w:val="24"/>
          <w:szCs w:val="24"/>
        </w:rPr>
        <w:t xml:space="preserve">the thickness of the density field </w:t>
      </w:r>
      <w:r w:rsidR="002A357F" w:rsidRPr="00734B39">
        <w:rPr>
          <w:rFonts w:ascii="Times New Roman" w:hAnsi="Times New Roman" w:cs="Times New Roman"/>
          <w:sz w:val="24"/>
          <w:szCs w:val="24"/>
        </w:rPr>
        <w:t xml:space="preserve">yields </w:t>
      </w:r>
      <w:r w:rsidR="00642895" w:rsidRPr="00734B39">
        <w:rPr>
          <w:rFonts w:ascii="Times New Roman" w:hAnsi="Times New Roman" w:cs="Times New Roman"/>
          <w:sz w:val="24"/>
          <w:szCs w:val="24"/>
        </w:rPr>
        <w:t>substantial changes over time. We illustrate with three figures below.</w:t>
      </w:r>
      <w:r w:rsidR="004F4181" w:rsidRPr="002314F5">
        <w:rPr>
          <w:rStyle w:val="FootnoteReference"/>
          <w:rFonts w:ascii="Times New Roman" w:hAnsi="Times New Roman" w:cs="Times New Roman"/>
          <w:sz w:val="24"/>
          <w:szCs w:val="24"/>
        </w:rPr>
        <w:footnoteReference w:id="19"/>
      </w:r>
      <w:r w:rsidR="00642895">
        <w:rPr>
          <w:rFonts w:ascii="Times New Roman" w:hAnsi="Times New Roman" w:cs="Times New Roman"/>
          <w:sz w:val="24"/>
          <w:szCs w:val="24"/>
        </w:rPr>
        <w:t xml:space="preserve"> </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138F7" w:rsidRPr="00CA1756" w14:paraId="7C760B90" w14:textId="77777777" w:rsidTr="00317EFA">
        <w:trPr>
          <w:trHeight w:val="470"/>
          <w:jc w:val="center"/>
        </w:trPr>
        <w:tc>
          <w:tcPr>
            <w:tcW w:w="9360" w:type="dxa"/>
            <w:tcBorders>
              <w:bottom w:val="single" w:sz="4" w:space="0" w:color="auto"/>
            </w:tcBorders>
            <w:vAlign w:val="center"/>
          </w:tcPr>
          <w:p w14:paraId="5D8618E6" w14:textId="77777777" w:rsidR="00D138F7" w:rsidRPr="00CA1756" w:rsidRDefault="00D138F7" w:rsidP="00317EFA">
            <w:pPr>
              <w:rPr>
                <w:rFonts w:eastAsia="Calibri"/>
                <w:b/>
              </w:rPr>
            </w:pPr>
            <w:r w:rsidRPr="00CA1756">
              <w:rPr>
                <w:rFonts w:eastAsia="Calibri"/>
                <w:b/>
              </w:rPr>
              <w:t xml:space="preserve">Figure </w:t>
            </w:r>
            <w:r>
              <w:rPr>
                <w:rFonts w:eastAsia="Calibri"/>
                <w:b/>
              </w:rPr>
              <w:t>10. Middle East Rivalry Field, 1960.</w:t>
            </w:r>
          </w:p>
        </w:tc>
      </w:tr>
      <w:tr w:rsidR="00D138F7" w:rsidRPr="00CA1756" w14:paraId="2CC67D15" w14:textId="77777777" w:rsidTr="00317EFA">
        <w:trPr>
          <w:jc w:val="center"/>
        </w:trPr>
        <w:tc>
          <w:tcPr>
            <w:tcW w:w="9360" w:type="dxa"/>
            <w:tcBorders>
              <w:top w:val="single" w:sz="4" w:space="0" w:color="auto"/>
              <w:bottom w:val="single" w:sz="4" w:space="0" w:color="auto"/>
            </w:tcBorders>
            <w:vAlign w:val="center"/>
          </w:tcPr>
          <w:p w14:paraId="57A6959D" w14:textId="2E67E718" w:rsidR="00D138F7" w:rsidRPr="00CA1756" w:rsidRDefault="00972039" w:rsidP="00317EFA">
            <w:pPr>
              <w:jc w:val="center"/>
              <w:rPr>
                <w:rFonts w:eastAsia="Calibri"/>
              </w:rPr>
            </w:pPr>
            <w:r>
              <w:rPr>
                <w:rFonts w:eastAsia="Calibri"/>
                <w:noProof/>
              </w:rPr>
              <w:lastRenderedPageBreak/>
              <w:drawing>
                <wp:inline distT="0" distB="0" distL="0" distR="0" wp14:anchorId="63194DF9" wp14:editId="4DF33D71">
                  <wp:extent cx="3171496" cy="248602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1960 Figure.pdf"/>
                          <pic:cNvPicPr/>
                        </pic:nvPicPr>
                        <pic:blipFill rotWithShape="1">
                          <a:blip r:embed="rId22" cstate="print">
                            <a:extLst>
                              <a:ext uri="{28A0092B-C50C-407E-A947-70E740481C1C}">
                                <a14:useLocalDpi xmlns:a14="http://schemas.microsoft.com/office/drawing/2010/main" val="0"/>
                              </a:ext>
                            </a:extLst>
                          </a:blip>
                          <a:srcRect t="10209" b="15409"/>
                          <a:stretch/>
                        </pic:blipFill>
                        <pic:spPr bwMode="auto">
                          <a:xfrm>
                            <a:off x="0" y="0"/>
                            <a:ext cx="3176947" cy="24902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D3E38C" w14:textId="1F41AE8C" w:rsidR="00AB483F" w:rsidRDefault="00642895" w:rsidP="00B30311">
      <w:pPr>
        <w:spacing w:before="160" w:line="480" w:lineRule="auto"/>
        <w:ind w:right="-360" w:firstLine="720"/>
        <w:rPr>
          <w:rFonts w:ascii="Times New Roman" w:hAnsi="Times New Roman" w:cs="Times New Roman"/>
          <w:sz w:val="24"/>
          <w:szCs w:val="24"/>
        </w:rPr>
      </w:pPr>
      <w:r w:rsidRPr="002314F5">
        <w:rPr>
          <w:rFonts w:ascii="Times New Roman" w:hAnsi="Times New Roman" w:cs="Times New Roman"/>
          <w:sz w:val="24"/>
          <w:szCs w:val="24"/>
        </w:rPr>
        <w:t xml:space="preserve">Figure </w:t>
      </w:r>
      <w:r w:rsidR="003B1F8F" w:rsidRPr="003166A9">
        <w:rPr>
          <w:rFonts w:ascii="Times New Roman" w:hAnsi="Times New Roman" w:cs="Times New Roman"/>
          <w:sz w:val="24"/>
          <w:szCs w:val="24"/>
        </w:rPr>
        <w:t>10</w:t>
      </w:r>
      <w:r w:rsidRPr="003166A9">
        <w:rPr>
          <w:rFonts w:ascii="Times New Roman" w:hAnsi="Times New Roman" w:cs="Times New Roman"/>
          <w:sz w:val="24"/>
          <w:szCs w:val="24"/>
        </w:rPr>
        <w:t xml:space="preserve"> shows the region’s rivalry field in 1960; with the exception of </w:t>
      </w:r>
      <w:r w:rsidR="003166A9" w:rsidRPr="00FA5E04">
        <w:rPr>
          <w:rFonts w:ascii="Times New Roman" w:hAnsi="Times New Roman" w:cs="Times New Roman"/>
          <w:sz w:val="24"/>
          <w:szCs w:val="24"/>
        </w:rPr>
        <w:t>four</w:t>
      </w:r>
      <w:r w:rsidR="00A02F18" w:rsidRPr="002314F5">
        <w:rPr>
          <w:rFonts w:ascii="Times New Roman" w:hAnsi="Times New Roman" w:cs="Times New Roman"/>
          <w:sz w:val="24"/>
          <w:szCs w:val="24"/>
        </w:rPr>
        <w:t xml:space="preserve"> </w:t>
      </w:r>
      <w:r w:rsidRPr="003166A9">
        <w:rPr>
          <w:rFonts w:ascii="Times New Roman" w:hAnsi="Times New Roman" w:cs="Times New Roman"/>
          <w:sz w:val="24"/>
          <w:szCs w:val="24"/>
        </w:rPr>
        <w:t>states (</w:t>
      </w:r>
      <w:r w:rsidR="00955C23" w:rsidRPr="003166A9">
        <w:rPr>
          <w:rFonts w:ascii="Times New Roman" w:hAnsi="Times New Roman" w:cs="Times New Roman"/>
          <w:sz w:val="24"/>
          <w:szCs w:val="24"/>
        </w:rPr>
        <w:t xml:space="preserve">Kuwait, </w:t>
      </w:r>
      <w:r w:rsidRPr="003166A9">
        <w:rPr>
          <w:rFonts w:ascii="Times New Roman" w:hAnsi="Times New Roman" w:cs="Times New Roman"/>
          <w:sz w:val="24"/>
          <w:szCs w:val="24"/>
        </w:rPr>
        <w:t>Lebanon</w:t>
      </w:r>
      <w:r w:rsidR="00A02F18" w:rsidRPr="003166A9">
        <w:rPr>
          <w:rFonts w:ascii="Times New Roman" w:hAnsi="Times New Roman" w:cs="Times New Roman"/>
          <w:sz w:val="24"/>
          <w:szCs w:val="24"/>
        </w:rPr>
        <w:t xml:space="preserve">, </w:t>
      </w:r>
      <w:r w:rsidRPr="003166A9">
        <w:rPr>
          <w:rFonts w:ascii="Times New Roman" w:hAnsi="Times New Roman" w:cs="Times New Roman"/>
          <w:sz w:val="24"/>
          <w:szCs w:val="24"/>
        </w:rPr>
        <w:t>Oman</w:t>
      </w:r>
      <w:r w:rsidR="003166A9" w:rsidRPr="00FA5E04">
        <w:rPr>
          <w:rFonts w:ascii="Times New Roman" w:hAnsi="Times New Roman" w:cs="Times New Roman"/>
          <w:sz w:val="24"/>
          <w:szCs w:val="24"/>
        </w:rPr>
        <w:t xml:space="preserve">, and </w:t>
      </w:r>
      <w:r w:rsidR="00A86788">
        <w:rPr>
          <w:rFonts w:ascii="Times New Roman" w:hAnsi="Times New Roman" w:cs="Times New Roman"/>
          <w:sz w:val="24"/>
          <w:szCs w:val="24"/>
        </w:rPr>
        <w:t xml:space="preserve">the </w:t>
      </w:r>
      <w:r w:rsidR="003166A9" w:rsidRPr="00FA5E04">
        <w:rPr>
          <w:rFonts w:ascii="Times New Roman" w:hAnsi="Times New Roman" w:cs="Times New Roman"/>
          <w:sz w:val="24"/>
          <w:szCs w:val="24"/>
        </w:rPr>
        <w:t>Yemen Arab Republic</w:t>
      </w:r>
      <w:r w:rsidRPr="003166A9">
        <w:rPr>
          <w:rFonts w:ascii="Times New Roman" w:hAnsi="Times New Roman" w:cs="Times New Roman"/>
          <w:sz w:val="24"/>
          <w:szCs w:val="24"/>
        </w:rPr>
        <w:t>)</w:t>
      </w:r>
      <w:r w:rsidR="006B2C68" w:rsidRPr="003166A9">
        <w:rPr>
          <w:rFonts w:ascii="Times New Roman" w:hAnsi="Times New Roman" w:cs="Times New Roman"/>
          <w:sz w:val="24"/>
          <w:szCs w:val="24"/>
        </w:rPr>
        <w:t>, all other region members are caught in rivalries</w:t>
      </w:r>
      <w:r w:rsidRPr="003166A9">
        <w:rPr>
          <w:rFonts w:ascii="Times New Roman" w:hAnsi="Times New Roman" w:cs="Times New Roman"/>
          <w:sz w:val="24"/>
          <w:szCs w:val="24"/>
        </w:rPr>
        <w:t>.</w:t>
      </w:r>
      <w:r w:rsidR="003166A9" w:rsidRPr="00FA5E04">
        <w:rPr>
          <w:rFonts w:ascii="Times New Roman" w:hAnsi="Times New Roman" w:cs="Times New Roman"/>
          <w:sz w:val="24"/>
          <w:szCs w:val="24"/>
        </w:rPr>
        <w:t xml:space="preserve"> </w:t>
      </w:r>
      <w:r w:rsidRPr="003166A9">
        <w:rPr>
          <w:rFonts w:ascii="Times New Roman" w:hAnsi="Times New Roman" w:cs="Times New Roman"/>
          <w:sz w:val="24"/>
          <w:szCs w:val="24"/>
        </w:rPr>
        <w:t xml:space="preserve">Figure </w:t>
      </w:r>
      <w:r w:rsidR="003B1F8F" w:rsidRPr="003166A9">
        <w:rPr>
          <w:rFonts w:ascii="Times New Roman" w:hAnsi="Times New Roman" w:cs="Times New Roman"/>
          <w:sz w:val="24"/>
          <w:szCs w:val="24"/>
        </w:rPr>
        <w:t>11</w:t>
      </w:r>
      <w:r w:rsidRPr="003166A9">
        <w:rPr>
          <w:rFonts w:ascii="Times New Roman" w:hAnsi="Times New Roman" w:cs="Times New Roman"/>
          <w:sz w:val="24"/>
          <w:szCs w:val="24"/>
        </w:rPr>
        <w:t xml:space="preserve"> maps the rivalry field for 1990; a single set of rivalries is now bifurcated into a dominant one, and a smaller one (Qatar-Bahrain), with four</w:t>
      </w:r>
      <w:r w:rsidR="003166A9" w:rsidRPr="00FA5E04">
        <w:rPr>
          <w:rFonts w:ascii="Times New Roman" w:hAnsi="Times New Roman" w:cs="Times New Roman"/>
          <w:sz w:val="24"/>
          <w:szCs w:val="24"/>
        </w:rPr>
        <w:t>, slightly changed,</w:t>
      </w:r>
      <w:r w:rsidRPr="002314F5">
        <w:rPr>
          <w:rFonts w:ascii="Times New Roman" w:hAnsi="Times New Roman" w:cs="Times New Roman"/>
          <w:sz w:val="24"/>
          <w:szCs w:val="24"/>
        </w:rPr>
        <w:t xml:space="preserve"> states remaining outside of </w:t>
      </w:r>
      <w:r w:rsidR="003B1F8F" w:rsidRPr="003166A9">
        <w:rPr>
          <w:rFonts w:ascii="Times New Roman" w:hAnsi="Times New Roman" w:cs="Times New Roman"/>
          <w:sz w:val="24"/>
          <w:szCs w:val="24"/>
        </w:rPr>
        <w:t>rivalr</w:t>
      </w:r>
      <w:r w:rsidR="006B2C68" w:rsidRPr="003166A9">
        <w:rPr>
          <w:rFonts w:ascii="Times New Roman" w:hAnsi="Times New Roman" w:cs="Times New Roman"/>
          <w:sz w:val="24"/>
          <w:szCs w:val="24"/>
        </w:rPr>
        <w:t xml:space="preserve">ies </w:t>
      </w:r>
      <w:r w:rsidR="00A02F18" w:rsidRPr="003166A9">
        <w:rPr>
          <w:rFonts w:ascii="Times New Roman" w:hAnsi="Times New Roman" w:cs="Times New Roman"/>
          <w:sz w:val="24"/>
          <w:szCs w:val="24"/>
        </w:rPr>
        <w:t>(Lebanon, Oman, Yemen, and UAE).</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138F7" w:rsidRPr="00CA1756" w14:paraId="1618007A" w14:textId="77777777" w:rsidTr="00317EFA">
        <w:trPr>
          <w:trHeight w:val="470"/>
          <w:jc w:val="center"/>
        </w:trPr>
        <w:tc>
          <w:tcPr>
            <w:tcW w:w="9360" w:type="dxa"/>
            <w:tcBorders>
              <w:bottom w:val="single" w:sz="4" w:space="0" w:color="auto"/>
            </w:tcBorders>
            <w:vAlign w:val="center"/>
          </w:tcPr>
          <w:p w14:paraId="525EB379" w14:textId="77777777" w:rsidR="00D138F7" w:rsidRPr="00CA1756" w:rsidRDefault="00D138F7" w:rsidP="00317EFA">
            <w:pPr>
              <w:rPr>
                <w:rFonts w:eastAsia="Calibri"/>
                <w:b/>
              </w:rPr>
            </w:pPr>
            <w:r w:rsidRPr="00CA1756">
              <w:rPr>
                <w:rFonts w:eastAsia="Calibri"/>
                <w:b/>
              </w:rPr>
              <w:t xml:space="preserve">Figure </w:t>
            </w:r>
            <w:r>
              <w:rPr>
                <w:rFonts w:eastAsia="Calibri"/>
                <w:b/>
              </w:rPr>
              <w:t>11. Middle East Rivalry Field, 1990.</w:t>
            </w:r>
          </w:p>
        </w:tc>
      </w:tr>
      <w:tr w:rsidR="00D138F7" w:rsidRPr="00CA1756" w14:paraId="206C8870" w14:textId="77777777" w:rsidTr="00E246E5">
        <w:trPr>
          <w:trHeight w:val="4896"/>
          <w:jc w:val="center"/>
        </w:trPr>
        <w:tc>
          <w:tcPr>
            <w:tcW w:w="9360" w:type="dxa"/>
            <w:tcBorders>
              <w:top w:val="single" w:sz="4" w:space="0" w:color="auto"/>
              <w:bottom w:val="single" w:sz="4" w:space="0" w:color="auto"/>
            </w:tcBorders>
            <w:vAlign w:val="center"/>
          </w:tcPr>
          <w:p w14:paraId="31D701CB" w14:textId="77777777" w:rsidR="00D138F7" w:rsidRPr="00CA1756" w:rsidRDefault="00D138F7" w:rsidP="00317EFA">
            <w:pPr>
              <w:jc w:val="center"/>
              <w:rPr>
                <w:rFonts w:eastAsia="Calibri"/>
              </w:rPr>
            </w:pPr>
            <w:r>
              <w:rPr>
                <w:rFonts w:eastAsia="Calibri"/>
                <w:noProof/>
              </w:rPr>
              <w:drawing>
                <wp:inline distT="0" distB="0" distL="0" distR="0" wp14:anchorId="7EBAF34C" wp14:editId="6D7E4730">
                  <wp:extent cx="3171825" cy="2724150"/>
                  <wp:effectExtent l="0" t="0" r="9525"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1990 Figure.pdf"/>
                          <pic:cNvPicPr/>
                        </pic:nvPicPr>
                        <pic:blipFill rotWithShape="1">
                          <a:blip r:embed="rId23" cstate="print">
                            <a:extLst>
                              <a:ext uri="{28A0092B-C50C-407E-A947-70E740481C1C}">
                                <a14:useLocalDpi xmlns:a14="http://schemas.microsoft.com/office/drawing/2010/main" val="0"/>
                              </a:ext>
                            </a:extLst>
                          </a:blip>
                          <a:srcRect t="10210" b="14263"/>
                          <a:stretch/>
                        </pic:blipFill>
                        <pic:spPr bwMode="auto">
                          <a:xfrm>
                            <a:off x="0" y="0"/>
                            <a:ext cx="3172970" cy="27251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E1D140" w14:textId="44D6816B" w:rsidR="003740CE" w:rsidRDefault="003740CE" w:rsidP="00446543">
      <w:pPr>
        <w:spacing w:line="480" w:lineRule="auto"/>
        <w:ind w:right="-360"/>
        <w:rPr>
          <w:rFonts w:ascii="Times New Roman" w:hAnsi="Times New Roman" w:cs="Times New Roman"/>
          <w:sz w:val="24"/>
          <w:szCs w:val="24"/>
        </w:rPr>
      </w:pPr>
    </w:p>
    <w:p w14:paraId="45409E2A" w14:textId="75FCC2E2" w:rsidR="003F1577" w:rsidRDefault="0002103F" w:rsidP="00AF573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F5735">
        <w:rPr>
          <w:rFonts w:ascii="Times New Roman" w:hAnsi="Times New Roman" w:cs="Times New Roman"/>
          <w:sz w:val="24"/>
          <w:szCs w:val="24"/>
        </w:rPr>
        <w:tab/>
      </w:r>
      <w:r w:rsidR="00AF5735" w:rsidRPr="002314F5">
        <w:rPr>
          <w:rFonts w:ascii="Times New Roman" w:hAnsi="Times New Roman" w:cs="Times New Roman"/>
          <w:sz w:val="24"/>
          <w:szCs w:val="24"/>
        </w:rPr>
        <w:t xml:space="preserve">Figure </w:t>
      </w:r>
      <w:r w:rsidR="003B1F8F" w:rsidRPr="000D7549">
        <w:rPr>
          <w:rFonts w:ascii="Times New Roman" w:hAnsi="Times New Roman" w:cs="Times New Roman"/>
          <w:sz w:val="24"/>
          <w:szCs w:val="24"/>
        </w:rPr>
        <w:t>12</w:t>
      </w:r>
      <w:r w:rsidR="00AF5735" w:rsidRPr="000D7549">
        <w:rPr>
          <w:rFonts w:ascii="Times New Roman" w:hAnsi="Times New Roman" w:cs="Times New Roman"/>
          <w:sz w:val="24"/>
          <w:szCs w:val="24"/>
        </w:rPr>
        <w:t xml:space="preserve"> maps the region’s rivalry field for 2015. In this latest period</w:t>
      </w:r>
      <w:r w:rsidR="00A86788">
        <w:rPr>
          <w:rFonts w:ascii="Times New Roman" w:hAnsi="Times New Roman" w:cs="Times New Roman"/>
          <w:sz w:val="24"/>
          <w:szCs w:val="24"/>
        </w:rPr>
        <w:t>,</w:t>
      </w:r>
      <w:r w:rsidR="00AF5735" w:rsidRPr="000D7549">
        <w:rPr>
          <w:rFonts w:ascii="Times New Roman" w:hAnsi="Times New Roman" w:cs="Times New Roman"/>
          <w:sz w:val="24"/>
          <w:szCs w:val="24"/>
        </w:rPr>
        <w:t xml:space="preserve"> </w:t>
      </w:r>
      <w:r w:rsidR="000C41AF" w:rsidRPr="000D7549">
        <w:rPr>
          <w:rFonts w:ascii="Times New Roman" w:hAnsi="Times New Roman" w:cs="Times New Roman"/>
          <w:sz w:val="24"/>
          <w:szCs w:val="24"/>
        </w:rPr>
        <w:t>two</w:t>
      </w:r>
      <w:r w:rsidR="00AF5735" w:rsidRPr="000D7549">
        <w:rPr>
          <w:rFonts w:ascii="Times New Roman" w:hAnsi="Times New Roman" w:cs="Times New Roman"/>
          <w:sz w:val="24"/>
          <w:szCs w:val="24"/>
        </w:rPr>
        <w:t xml:space="preserve"> obvious differences emerge. First, the </w:t>
      </w:r>
      <w:r w:rsidR="003166A9" w:rsidRPr="002C03E6">
        <w:rPr>
          <w:rFonts w:ascii="Times New Roman" w:hAnsi="Times New Roman" w:cs="Times New Roman"/>
          <w:sz w:val="24"/>
          <w:szCs w:val="24"/>
        </w:rPr>
        <w:t>number of states involved in rivalries</w:t>
      </w:r>
      <w:r w:rsidR="00AF5735" w:rsidRPr="000D7549">
        <w:rPr>
          <w:rFonts w:ascii="Times New Roman" w:hAnsi="Times New Roman" w:cs="Times New Roman"/>
          <w:sz w:val="24"/>
          <w:szCs w:val="24"/>
        </w:rPr>
        <w:t xml:space="preserve"> is smaller than </w:t>
      </w:r>
      <w:r w:rsidR="003B1F8F" w:rsidRPr="000D7549">
        <w:rPr>
          <w:rFonts w:ascii="Times New Roman" w:hAnsi="Times New Roman" w:cs="Times New Roman"/>
          <w:sz w:val="24"/>
          <w:szCs w:val="24"/>
        </w:rPr>
        <w:t xml:space="preserve">in </w:t>
      </w:r>
      <w:r w:rsidR="00AF5735" w:rsidRPr="000D7549">
        <w:rPr>
          <w:rFonts w:ascii="Times New Roman" w:hAnsi="Times New Roman" w:cs="Times New Roman"/>
          <w:sz w:val="24"/>
          <w:szCs w:val="24"/>
        </w:rPr>
        <w:t>1960, and</w:t>
      </w:r>
      <w:r w:rsidR="003B1F8F" w:rsidRPr="000D7549">
        <w:rPr>
          <w:rFonts w:ascii="Times New Roman" w:hAnsi="Times New Roman" w:cs="Times New Roman"/>
          <w:sz w:val="24"/>
          <w:szCs w:val="24"/>
        </w:rPr>
        <w:t>,</w:t>
      </w:r>
      <w:r w:rsidR="00AF5735" w:rsidRPr="000D7549">
        <w:rPr>
          <w:rFonts w:ascii="Times New Roman" w:hAnsi="Times New Roman" w:cs="Times New Roman"/>
          <w:sz w:val="24"/>
          <w:szCs w:val="24"/>
        </w:rPr>
        <w:t xml:space="preserve"> second, </w:t>
      </w:r>
      <w:r w:rsidR="00955C23" w:rsidRPr="000D7549">
        <w:rPr>
          <w:rFonts w:ascii="Times New Roman" w:hAnsi="Times New Roman" w:cs="Times New Roman"/>
          <w:sz w:val="24"/>
          <w:szCs w:val="24"/>
        </w:rPr>
        <w:t xml:space="preserve">the number of non-connected states evolves slightly </w:t>
      </w:r>
      <w:r w:rsidR="003166A9" w:rsidRPr="002C03E6">
        <w:rPr>
          <w:rFonts w:ascii="Times New Roman" w:hAnsi="Times New Roman" w:cs="Times New Roman"/>
          <w:sz w:val="24"/>
          <w:szCs w:val="24"/>
        </w:rPr>
        <w:t xml:space="preserve">again </w:t>
      </w:r>
      <w:r w:rsidR="00955C23" w:rsidRPr="002314F5">
        <w:rPr>
          <w:rFonts w:ascii="Times New Roman" w:hAnsi="Times New Roman" w:cs="Times New Roman"/>
          <w:sz w:val="24"/>
          <w:szCs w:val="24"/>
        </w:rPr>
        <w:t xml:space="preserve">such that four states remain outside </w:t>
      </w:r>
      <w:r w:rsidR="006B2C68" w:rsidRPr="000D7549">
        <w:rPr>
          <w:rFonts w:ascii="Times New Roman" w:hAnsi="Times New Roman" w:cs="Times New Roman"/>
          <w:sz w:val="24"/>
          <w:szCs w:val="24"/>
        </w:rPr>
        <w:t xml:space="preserve">of rivalries </w:t>
      </w:r>
      <w:r w:rsidR="00955C23" w:rsidRPr="000D7549">
        <w:rPr>
          <w:rFonts w:ascii="Times New Roman" w:hAnsi="Times New Roman" w:cs="Times New Roman"/>
          <w:sz w:val="24"/>
          <w:szCs w:val="24"/>
        </w:rPr>
        <w:t>(Bahrain, Lebanon, Oman, and Yemen).</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138F7" w:rsidRPr="00CA1756" w14:paraId="144ED2C0" w14:textId="77777777" w:rsidTr="00317EFA">
        <w:trPr>
          <w:trHeight w:val="470"/>
          <w:jc w:val="center"/>
        </w:trPr>
        <w:tc>
          <w:tcPr>
            <w:tcW w:w="9360" w:type="dxa"/>
            <w:tcBorders>
              <w:bottom w:val="single" w:sz="4" w:space="0" w:color="auto"/>
            </w:tcBorders>
            <w:vAlign w:val="center"/>
          </w:tcPr>
          <w:p w14:paraId="6AA6992A" w14:textId="77777777" w:rsidR="00D138F7" w:rsidRPr="00CA1756" w:rsidRDefault="00D138F7" w:rsidP="00317EFA">
            <w:pPr>
              <w:rPr>
                <w:rFonts w:eastAsia="Calibri"/>
                <w:b/>
              </w:rPr>
            </w:pPr>
            <w:r w:rsidRPr="00CA1756">
              <w:rPr>
                <w:rFonts w:eastAsia="Calibri"/>
                <w:b/>
              </w:rPr>
              <w:t xml:space="preserve">Figure </w:t>
            </w:r>
            <w:r>
              <w:rPr>
                <w:rFonts w:eastAsia="Calibri"/>
                <w:b/>
              </w:rPr>
              <w:t>12. Middle East Rivalry Field, 2015.</w:t>
            </w:r>
          </w:p>
        </w:tc>
      </w:tr>
      <w:tr w:rsidR="00D138F7" w:rsidRPr="00CA1756" w14:paraId="752E3587" w14:textId="77777777" w:rsidTr="00E246E5">
        <w:trPr>
          <w:trHeight w:val="5040"/>
          <w:jc w:val="center"/>
        </w:trPr>
        <w:tc>
          <w:tcPr>
            <w:tcW w:w="9360" w:type="dxa"/>
            <w:tcBorders>
              <w:top w:val="single" w:sz="4" w:space="0" w:color="auto"/>
              <w:bottom w:val="single" w:sz="4" w:space="0" w:color="auto"/>
            </w:tcBorders>
            <w:vAlign w:val="center"/>
          </w:tcPr>
          <w:p w14:paraId="2EF7D835" w14:textId="77777777" w:rsidR="00D138F7" w:rsidRPr="00CA1756" w:rsidRDefault="00D138F7" w:rsidP="00317EFA">
            <w:pPr>
              <w:jc w:val="center"/>
              <w:rPr>
                <w:rFonts w:eastAsia="Calibri"/>
              </w:rPr>
            </w:pPr>
            <w:r>
              <w:rPr>
                <w:rFonts w:eastAsia="Calibri"/>
                <w:noProof/>
              </w:rPr>
              <w:drawing>
                <wp:inline distT="0" distB="0" distL="0" distR="0" wp14:anchorId="08C878CD" wp14:editId="1CD05DCB">
                  <wp:extent cx="3171825" cy="32385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5 Figure.pdf"/>
                          <pic:cNvPicPr/>
                        </pic:nvPicPr>
                        <pic:blipFill rotWithShape="1">
                          <a:blip r:embed="rId24" cstate="print">
                            <a:extLst>
                              <a:ext uri="{28A0092B-C50C-407E-A947-70E740481C1C}">
                                <a14:useLocalDpi xmlns:a14="http://schemas.microsoft.com/office/drawing/2010/main" val="0"/>
                              </a:ext>
                            </a:extLst>
                          </a:blip>
                          <a:srcRect t="8121" b="12982"/>
                          <a:stretch/>
                        </pic:blipFill>
                        <pic:spPr bwMode="auto">
                          <a:xfrm>
                            <a:off x="0" y="0"/>
                            <a:ext cx="3172537" cy="3239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357A8E" w14:textId="1E71C342" w:rsidR="000A3D72" w:rsidRDefault="000A3D72" w:rsidP="002C03E6"/>
    <w:p w14:paraId="629B9852" w14:textId="21F0227A" w:rsidR="000C41AF" w:rsidRDefault="000C41AF" w:rsidP="00C76821">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Some obvious changes contribute to the fluctuations in the field. Egypt, which was involved in roughly 60 percent of rivalries during the 1960s is by 2015 involved with less than 10 percent of the field. Iraq’s involvement had been more </w:t>
      </w:r>
      <w:r w:rsidR="00445120">
        <w:rPr>
          <w:rFonts w:ascii="Times New Roman" w:hAnsi="Times New Roman" w:cs="Times New Roman"/>
          <w:sz w:val="24"/>
          <w:szCs w:val="24"/>
        </w:rPr>
        <w:t xml:space="preserve">prominent </w:t>
      </w:r>
      <w:r>
        <w:rPr>
          <w:rFonts w:ascii="Times New Roman" w:hAnsi="Times New Roman" w:cs="Times New Roman"/>
          <w:sz w:val="24"/>
          <w:szCs w:val="24"/>
        </w:rPr>
        <w:t>than even Egypt’s, with a</w:t>
      </w:r>
      <w:r w:rsidR="00C76821">
        <w:rPr>
          <w:rFonts w:ascii="Times New Roman" w:hAnsi="Times New Roman" w:cs="Times New Roman"/>
          <w:sz w:val="24"/>
          <w:szCs w:val="24"/>
        </w:rPr>
        <w:t xml:space="preserve"> consistent </w:t>
      </w:r>
      <w:r>
        <w:rPr>
          <w:rFonts w:ascii="Times New Roman" w:hAnsi="Times New Roman" w:cs="Times New Roman"/>
          <w:sz w:val="24"/>
          <w:szCs w:val="24"/>
        </w:rPr>
        <w:t xml:space="preserve">involvement in nearly half of all rivalries – until 2003, after which it nearly disappears from the field. Israel’s involvement in the rivalry field is also extensive, albeit not nearly as much as either Egypt’s or Iraq’s involvement, and Israel’s lowest rate of involvement (around 23 percent) occurs from 2004 to the present. As a result of these states’ reduced involvement in the Middle East rivalry field, we observe a pattern that is by 2015 more “normal” compared to other regions, but only when assessed in the context of the Middle East’s much denser field prior to the </w:t>
      </w:r>
      <w:r>
        <w:rPr>
          <w:rFonts w:ascii="Times New Roman" w:hAnsi="Times New Roman" w:cs="Times New Roman"/>
          <w:sz w:val="24"/>
          <w:szCs w:val="24"/>
        </w:rPr>
        <w:lastRenderedPageBreak/>
        <w:t>21</w:t>
      </w:r>
      <w:r w:rsidRPr="006F2822">
        <w:rPr>
          <w:rFonts w:ascii="Times New Roman" w:hAnsi="Times New Roman" w:cs="Times New Roman"/>
          <w:sz w:val="24"/>
          <w:szCs w:val="24"/>
          <w:vertAlign w:val="superscript"/>
        </w:rPr>
        <w:t>st</w:t>
      </w:r>
      <w:r>
        <w:rPr>
          <w:rFonts w:ascii="Times New Roman" w:hAnsi="Times New Roman" w:cs="Times New Roman"/>
          <w:sz w:val="24"/>
          <w:szCs w:val="24"/>
        </w:rPr>
        <w:t xml:space="preserve"> century. However, a word of caution is due: more “normal” in the Middle East does not equate to “typical” for a region of its type (non-hierarchical). Even in its more simplified form, the density of the field in the region remains incomparable to other major regions.</w:t>
      </w:r>
    </w:p>
    <w:p w14:paraId="580E53DD" w14:textId="1FEAF744" w:rsidR="006C616C" w:rsidRDefault="00257CB8" w:rsidP="00B30311">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Do these changes create </w:t>
      </w:r>
      <w:r w:rsidR="00544CBA">
        <w:rPr>
          <w:rFonts w:ascii="Times New Roman" w:hAnsi="Times New Roman" w:cs="Times New Roman"/>
          <w:sz w:val="24"/>
          <w:szCs w:val="24"/>
        </w:rPr>
        <w:t xml:space="preserve">dramatically </w:t>
      </w:r>
      <w:r>
        <w:rPr>
          <w:rFonts w:ascii="Times New Roman" w:hAnsi="Times New Roman" w:cs="Times New Roman"/>
          <w:sz w:val="24"/>
          <w:szCs w:val="24"/>
        </w:rPr>
        <w:t xml:space="preserve">less conflict in the Middle East? That should not be expected: after all, even when the field is substantially reduced it is still </w:t>
      </w:r>
      <w:r w:rsidR="003C753E">
        <w:rPr>
          <w:rFonts w:ascii="Times New Roman" w:hAnsi="Times New Roman" w:cs="Times New Roman"/>
          <w:sz w:val="24"/>
          <w:szCs w:val="24"/>
        </w:rPr>
        <w:t xml:space="preserve">substantially </w:t>
      </w:r>
      <w:r w:rsidR="003B1FB4">
        <w:rPr>
          <w:rFonts w:ascii="Times New Roman" w:hAnsi="Times New Roman" w:cs="Times New Roman"/>
          <w:sz w:val="24"/>
          <w:szCs w:val="24"/>
        </w:rPr>
        <w:t>denser</w:t>
      </w:r>
      <w:r>
        <w:rPr>
          <w:rFonts w:ascii="Times New Roman" w:hAnsi="Times New Roman" w:cs="Times New Roman"/>
          <w:sz w:val="24"/>
          <w:szCs w:val="24"/>
        </w:rPr>
        <w:t xml:space="preserve"> than virtually any other region. Additionally, as we noted earlier, it is not only the rivalry field that drives intra-regional conflict, as fault lines (</w:t>
      </w:r>
      <w:r w:rsidR="003B1FB4">
        <w:rPr>
          <w:rFonts w:ascii="Times New Roman" w:hAnsi="Times New Roman" w:cs="Times New Roman"/>
          <w:sz w:val="24"/>
          <w:szCs w:val="24"/>
        </w:rPr>
        <w:t>e.g.,</w:t>
      </w:r>
      <w:r>
        <w:rPr>
          <w:rFonts w:ascii="Times New Roman" w:hAnsi="Times New Roman" w:cs="Times New Roman"/>
          <w:sz w:val="24"/>
          <w:szCs w:val="24"/>
        </w:rPr>
        <w:t xml:space="preserve"> territorial contestation and civil wars) and external intervention</w:t>
      </w:r>
      <w:r w:rsidR="00A86788">
        <w:rPr>
          <w:rFonts w:ascii="Times New Roman" w:hAnsi="Times New Roman" w:cs="Times New Roman"/>
          <w:sz w:val="24"/>
          <w:szCs w:val="24"/>
        </w:rPr>
        <w:t>s</w:t>
      </w:r>
      <w:r>
        <w:rPr>
          <w:rFonts w:ascii="Times New Roman" w:hAnsi="Times New Roman" w:cs="Times New Roman"/>
          <w:sz w:val="24"/>
          <w:szCs w:val="24"/>
        </w:rPr>
        <w:t xml:space="preserve"> continue to exacerbate conflicts. Needless to say, the absence of hierarchy does not help promote peace</w:t>
      </w:r>
      <w:r w:rsidR="003B1FB4">
        <w:rPr>
          <w:rFonts w:ascii="Times New Roman" w:hAnsi="Times New Roman" w:cs="Times New Roman"/>
          <w:sz w:val="24"/>
          <w:szCs w:val="24"/>
        </w:rPr>
        <w:t xml:space="preserve"> either</w:t>
      </w:r>
      <w:r>
        <w:rPr>
          <w:rFonts w:ascii="Times New Roman" w:hAnsi="Times New Roman" w:cs="Times New Roman"/>
          <w:sz w:val="24"/>
          <w:szCs w:val="24"/>
        </w:rPr>
        <w:t xml:space="preserve">, facilitating instead struggles by regional power aspirants </w:t>
      </w:r>
      <w:r w:rsidR="002C03E6">
        <w:rPr>
          <w:rFonts w:ascii="Times New Roman" w:hAnsi="Times New Roman" w:cs="Times New Roman"/>
          <w:sz w:val="24"/>
          <w:szCs w:val="24"/>
        </w:rPr>
        <w:t>that today include</w:t>
      </w:r>
      <w:r>
        <w:rPr>
          <w:rFonts w:ascii="Times New Roman" w:hAnsi="Times New Roman" w:cs="Times New Roman"/>
          <w:sz w:val="24"/>
          <w:szCs w:val="24"/>
        </w:rPr>
        <w:t xml:space="preserve"> Saudi Arabia</w:t>
      </w:r>
      <w:r w:rsidR="002C03E6">
        <w:rPr>
          <w:rFonts w:ascii="Times New Roman" w:hAnsi="Times New Roman" w:cs="Times New Roman"/>
          <w:sz w:val="24"/>
          <w:szCs w:val="24"/>
        </w:rPr>
        <w:t xml:space="preserve"> and </w:t>
      </w:r>
      <w:r>
        <w:rPr>
          <w:rFonts w:ascii="Times New Roman" w:hAnsi="Times New Roman" w:cs="Times New Roman"/>
          <w:sz w:val="24"/>
          <w:szCs w:val="24"/>
        </w:rPr>
        <w:t xml:space="preserve">Iran, </w:t>
      </w:r>
      <w:r w:rsidR="00544CBA">
        <w:rPr>
          <w:rFonts w:ascii="Times New Roman" w:hAnsi="Times New Roman" w:cs="Times New Roman"/>
          <w:sz w:val="24"/>
          <w:szCs w:val="24"/>
        </w:rPr>
        <w:t xml:space="preserve">a list that </w:t>
      </w:r>
      <w:r w:rsidR="003C753E">
        <w:rPr>
          <w:rFonts w:ascii="Times New Roman" w:hAnsi="Times New Roman" w:cs="Times New Roman"/>
          <w:sz w:val="24"/>
          <w:szCs w:val="24"/>
        </w:rPr>
        <w:t xml:space="preserve">previously included </w:t>
      </w:r>
      <w:r w:rsidR="00544CBA">
        <w:rPr>
          <w:rFonts w:ascii="Times New Roman" w:hAnsi="Times New Roman" w:cs="Times New Roman"/>
          <w:sz w:val="24"/>
          <w:szCs w:val="24"/>
        </w:rPr>
        <w:t>Egypt and Iraq as well.</w:t>
      </w:r>
      <w:r w:rsidR="002C59FF">
        <w:rPr>
          <w:rStyle w:val="FootnoteReference"/>
          <w:rFonts w:ascii="Times New Roman" w:hAnsi="Times New Roman" w:cs="Times New Roman"/>
          <w:sz w:val="24"/>
          <w:szCs w:val="24"/>
        </w:rPr>
        <w:footnoteReference w:id="20"/>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618"/>
      </w:tblGrid>
      <w:tr w:rsidR="006C616C" w:rsidRPr="00BF6FD3" w14:paraId="72C72D06" w14:textId="77777777" w:rsidTr="00B30311">
        <w:trPr>
          <w:trHeight w:val="470"/>
          <w:jc w:val="center"/>
        </w:trPr>
        <w:tc>
          <w:tcPr>
            <w:tcW w:w="9360" w:type="dxa"/>
            <w:gridSpan w:val="2"/>
            <w:tcBorders>
              <w:bottom w:val="single" w:sz="4" w:space="0" w:color="auto"/>
            </w:tcBorders>
            <w:vAlign w:val="center"/>
          </w:tcPr>
          <w:p w14:paraId="38B42A4A" w14:textId="77777777" w:rsidR="006C616C" w:rsidRPr="002A456E" w:rsidRDefault="006C616C" w:rsidP="00B30311">
            <w:pPr>
              <w:rPr>
                <w:rFonts w:eastAsia="Calibri"/>
                <w:b/>
                <w:bCs/>
              </w:rPr>
            </w:pPr>
            <w:r w:rsidRPr="00610596">
              <w:rPr>
                <w:rFonts w:eastAsia="Calibri"/>
                <w:b/>
                <w:bCs/>
              </w:rPr>
              <w:t>Figure 13. Middle East Rivalry Density Field, 1951-2015.</w:t>
            </w:r>
          </w:p>
        </w:tc>
      </w:tr>
      <w:tr w:rsidR="006C616C" w:rsidRPr="00BF6FD3" w14:paraId="338AB18C" w14:textId="77777777" w:rsidTr="00B30311">
        <w:trPr>
          <w:jc w:val="center"/>
        </w:trPr>
        <w:tc>
          <w:tcPr>
            <w:tcW w:w="9360" w:type="dxa"/>
            <w:gridSpan w:val="2"/>
            <w:vAlign w:val="center"/>
          </w:tcPr>
          <w:p w14:paraId="5E173EB5" w14:textId="77777777" w:rsidR="006C616C" w:rsidRPr="00BF6FD3" w:rsidRDefault="006C616C" w:rsidP="00B30311">
            <w:pPr>
              <w:jc w:val="center"/>
              <w:rPr>
                <w:rFonts w:eastAsia="Calibri"/>
              </w:rPr>
            </w:pPr>
          </w:p>
          <w:p w14:paraId="3CCD8596" w14:textId="77777777" w:rsidR="006C616C" w:rsidRPr="00BF6FD3" w:rsidRDefault="006C616C" w:rsidP="00B30311">
            <w:pPr>
              <w:jc w:val="center"/>
              <w:rPr>
                <w:rFonts w:eastAsia="Calibri"/>
              </w:rPr>
            </w:pPr>
            <w:r w:rsidRPr="000A3DFB">
              <w:rPr>
                <w:noProof/>
              </w:rPr>
              <w:drawing>
                <wp:inline distT="0" distB="0" distL="0" distR="0" wp14:anchorId="02939D3E" wp14:editId="74040A71">
                  <wp:extent cx="5943600" cy="3005137"/>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6C616C" w:rsidRPr="00BF6FD3" w14:paraId="03B2EF51" w14:textId="77777777" w:rsidTr="00B30311">
        <w:trPr>
          <w:trHeight w:val="216"/>
          <w:jc w:val="center"/>
        </w:trPr>
        <w:tc>
          <w:tcPr>
            <w:tcW w:w="4680" w:type="dxa"/>
            <w:tcBorders>
              <w:bottom w:val="single" w:sz="4" w:space="0" w:color="auto"/>
            </w:tcBorders>
            <w:vAlign w:val="center"/>
          </w:tcPr>
          <w:p w14:paraId="6ACA0A78" w14:textId="77777777" w:rsidR="006C616C" w:rsidRPr="00BF6FD3" w:rsidRDefault="006C616C" w:rsidP="00B30311">
            <w:pPr>
              <w:jc w:val="center"/>
              <w:rPr>
                <w:rFonts w:eastAsia="Calibri"/>
              </w:rPr>
            </w:pPr>
          </w:p>
        </w:tc>
        <w:tc>
          <w:tcPr>
            <w:tcW w:w="4680" w:type="dxa"/>
            <w:tcBorders>
              <w:bottom w:val="single" w:sz="4" w:space="0" w:color="auto"/>
            </w:tcBorders>
            <w:vAlign w:val="center"/>
          </w:tcPr>
          <w:p w14:paraId="640089CA" w14:textId="77777777" w:rsidR="006C616C" w:rsidRPr="00BF6FD3" w:rsidRDefault="006C616C" w:rsidP="00B30311">
            <w:pPr>
              <w:jc w:val="center"/>
              <w:rPr>
                <w:rFonts w:eastAsia="Calibri"/>
              </w:rPr>
            </w:pPr>
          </w:p>
        </w:tc>
      </w:tr>
    </w:tbl>
    <w:p w14:paraId="0D0FE2D0" w14:textId="4A4BC696" w:rsidR="003F1577" w:rsidRDefault="003F1577" w:rsidP="003F1577">
      <w:pPr>
        <w:pStyle w:val="NoSpacing"/>
        <w:spacing w:line="480" w:lineRule="auto"/>
        <w:rPr>
          <w:rFonts w:ascii="Times New Roman" w:hAnsi="Times New Roman" w:cs="Times New Roman"/>
          <w:sz w:val="24"/>
          <w:szCs w:val="24"/>
        </w:rPr>
      </w:pPr>
    </w:p>
    <w:p w14:paraId="0FCE7E6E" w14:textId="7EDE854B" w:rsidR="006E4472" w:rsidRDefault="003C753E" w:rsidP="00B30311">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Instead, what may be changing is the amount of conflict in the region that can be solely attributed to the rivalry field.</w:t>
      </w:r>
      <w:r w:rsidR="005464E8">
        <w:rPr>
          <w:rFonts w:ascii="Times New Roman" w:hAnsi="Times New Roman" w:cs="Times New Roman"/>
          <w:sz w:val="24"/>
          <w:szCs w:val="24"/>
        </w:rPr>
        <w:t xml:space="preserve"> </w:t>
      </w:r>
      <w:r w:rsidR="000A3DFB">
        <w:rPr>
          <w:rFonts w:ascii="Times New Roman" w:hAnsi="Times New Roman" w:cs="Times New Roman"/>
          <w:sz w:val="24"/>
          <w:szCs w:val="24"/>
        </w:rPr>
        <w:t xml:space="preserve">Consider Figures </w:t>
      </w:r>
      <w:r w:rsidR="00247CF0">
        <w:rPr>
          <w:rFonts w:ascii="Times New Roman" w:hAnsi="Times New Roman" w:cs="Times New Roman"/>
          <w:sz w:val="24"/>
          <w:szCs w:val="24"/>
        </w:rPr>
        <w:t>13</w:t>
      </w:r>
      <w:r w:rsidR="000A3DFB">
        <w:rPr>
          <w:rFonts w:ascii="Times New Roman" w:hAnsi="Times New Roman" w:cs="Times New Roman"/>
          <w:sz w:val="24"/>
          <w:szCs w:val="24"/>
        </w:rPr>
        <w:t xml:space="preserve"> and </w:t>
      </w:r>
      <w:r w:rsidR="00247CF0">
        <w:rPr>
          <w:rFonts w:ascii="Times New Roman" w:hAnsi="Times New Roman" w:cs="Times New Roman"/>
          <w:sz w:val="24"/>
          <w:szCs w:val="24"/>
        </w:rPr>
        <w:t>14</w:t>
      </w:r>
      <w:r w:rsidR="000A3DFB">
        <w:rPr>
          <w:rFonts w:ascii="Times New Roman" w:hAnsi="Times New Roman" w:cs="Times New Roman"/>
          <w:sz w:val="24"/>
          <w:szCs w:val="24"/>
        </w:rPr>
        <w:t xml:space="preserve">. Figure </w:t>
      </w:r>
      <w:r w:rsidR="00247CF0">
        <w:rPr>
          <w:rFonts w:ascii="Times New Roman" w:hAnsi="Times New Roman" w:cs="Times New Roman"/>
          <w:sz w:val="24"/>
          <w:szCs w:val="24"/>
        </w:rPr>
        <w:t>13</w:t>
      </w:r>
      <w:r w:rsidR="000A3DFB">
        <w:rPr>
          <w:rFonts w:ascii="Times New Roman" w:hAnsi="Times New Roman" w:cs="Times New Roman"/>
          <w:sz w:val="24"/>
          <w:szCs w:val="24"/>
        </w:rPr>
        <w:t xml:space="preserve"> shows the annual fluctuations in the M</w:t>
      </w:r>
      <w:r>
        <w:rPr>
          <w:rFonts w:ascii="Times New Roman" w:hAnsi="Times New Roman" w:cs="Times New Roman"/>
          <w:sz w:val="24"/>
          <w:szCs w:val="24"/>
        </w:rPr>
        <w:t xml:space="preserve">iddle </w:t>
      </w:r>
      <w:r w:rsidR="000A3DFB">
        <w:rPr>
          <w:rFonts w:ascii="Times New Roman" w:hAnsi="Times New Roman" w:cs="Times New Roman"/>
          <w:sz w:val="24"/>
          <w:szCs w:val="24"/>
        </w:rPr>
        <w:t>E</w:t>
      </w:r>
      <w:r>
        <w:rPr>
          <w:rFonts w:ascii="Times New Roman" w:hAnsi="Times New Roman" w:cs="Times New Roman"/>
          <w:sz w:val="24"/>
          <w:szCs w:val="24"/>
        </w:rPr>
        <w:t>ast</w:t>
      </w:r>
      <w:r w:rsidR="000A3DFB">
        <w:rPr>
          <w:rFonts w:ascii="Times New Roman" w:hAnsi="Times New Roman" w:cs="Times New Roman"/>
          <w:sz w:val="24"/>
          <w:szCs w:val="24"/>
        </w:rPr>
        <w:t xml:space="preserve"> rivalry field</w:t>
      </w:r>
      <w:r>
        <w:rPr>
          <w:rFonts w:ascii="Times New Roman" w:hAnsi="Times New Roman" w:cs="Times New Roman"/>
          <w:sz w:val="24"/>
          <w:szCs w:val="24"/>
        </w:rPr>
        <w:t>’s</w:t>
      </w:r>
      <w:r w:rsidR="000A3DFB">
        <w:rPr>
          <w:rFonts w:ascii="Times New Roman" w:hAnsi="Times New Roman" w:cs="Times New Roman"/>
          <w:sz w:val="24"/>
          <w:szCs w:val="24"/>
        </w:rPr>
        <w:t xml:space="preserve"> density. </w:t>
      </w:r>
      <w:r w:rsidR="00EC312E">
        <w:rPr>
          <w:rFonts w:ascii="Times New Roman" w:hAnsi="Times New Roman" w:cs="Times New Roman"/>
          <w:sz w:val="24"/>
          <w:szCs w:val="24"/>
        </w:rPr>
        <w:t xml:space="preserve">Density goes beyond simply the number of states involved within rivalries by considering also the commonality of the actors within active rivalries each year. </w:t>
      </w:r>
      <w:r w:rsidR="000A3DFB">
        <w:rPr>
          <w:rFonts w:ascii="Times New Roman" w:hAnsi="Times New Roman" w:cs="Times New Roman"/>
          <w:sz w:val="24"/>
          <w:szCs w:val="24"/>
        </w:rPr>
        <w:t xml:space="preserve">There </w:t>
      </w:r>
      <w:r w:rsidR="00E524F5">
        <w:rPr>
          <w:rFonts w:ascii="Times New Roman" w:hAnsi="Times New Roman" w:cs="Times New Roman"/>
          <w:sz w:val="24"/>
          <w:szCs w:val="24"/>
        </w:rPr>
        <w:t>appear</w:t>
      </w:r>
      <w:r w:rsidR="000A3DFB">
        <w:rPr>
          <w:rFonts w:ascii="Times New Roman" w:hAnsi="Times New Roman" w:cs="Times New Roman"/>
          <w:sz w:val="24"/>
          <w:szCs w:val="24"/>
        </w:rPr>
        <w:t xml:space="preserve"> to be roughly three periods: the first, from 1951-1</w:t>
      </w:r>
      <w:r w:rsidR="00544CBA">
        <w:rPr>
          <w:rFonts w:ascii="Times New Roman" w:hAnsi="Times New Roman" w:cs="Times New Roman"/>
          <w:sz w:val="24"/>
          <w:szCs w:val="24"/>
        </w:rPr>
        <w:t>9</w:t>
      </w:r>
      <w:r w:rsidR="000A3DFB">
        <w:rPr>
          <w:rFonts w:ascii="Times New Roman" w:hAnsi="Times New Roman" w:cs="Times New Roman"/>
          <w:sz w:val="24"/>
          <w:szCs w:val="24"/>
        </w:rPr>
        <w:t>70 is a period of growth in the field; the second, from around 1979 through 2002 is a period of stability in the field; the third represents a sharp decline in the field, following the invasion of Iraq and the dismantling of the Saddam Hussein regime.</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585"/>
      </w:tblGrid>
      <w:tr w:rsidR="006E4472" w:rsidRPr="00BF6FD3" w14:paraId="26600C4E" w14:textId="77777777" w:rsidTr="00B30311">
        <w:trPr>
          <w:trHeight w:val="470"/>
          <w:jc w:val="center"/>
        </w:trPr>
        <w:tc>
          <w:tcPr>
            <w:tcW w:w="9360" w:type="dxa"/>
            <w:gridSpan w:val="2"/>
            <w:tcBorders>
              <w:bottom w:val="single" w:sz="4" w:space="0" w:color="auto"/>
            </w:tcBorders>
            <w:vAlign w:val="center"/>
          </w:tcPr>
          <w:p w14:paraId="7FD4EB9E" w14:textId="77777777" w:rsidR="006E4472" w:rsidRPr="00643E05" w:rsidRDefault="006E4472" w:rsidP="00B30311">
            <w:pPr>
              <w:rPr>
                <w:rFonts w:eastAsia="Calibri"/>
                <w:b/>
                <w:bCs/>
              </w:rPr>
            </w:pPr>
            <w:r w:rsidRPr="00C71E45">
              <w:rPr>
                <w:rFonts w:eastAsia="Calibri"/>
                <w:b/>
                <w:bCs/>
              </w:rPr>
              <w:t>Figure 14. Average Annual Frequency of Regional Severe MIDs, by Rivalry Field Type, 1951-2010.</w:t>
            </w:r>
          </w:p>
        </w:tc>
      </w:tr>
      <w:tr w:rsidR="006E4472" w:rsidRPr="00BF6FD3" w14:paraId="1BE8F3B1" w14:textId="77777777" w:rsidTr="00B30311">
        <w:trPr>
          <w:jc w:val="center"/>
        </w:trPr>
        <w:tc>
          <w:tcPr>
            <w:tcW w:w="9360" w:type="dxa"/>
            <w:gridSpan w:val="2"/>
            <w:vAlign w:val="center"/>
          </w:tcPr>
          <w:p w14:paraId="4DC4C235" w14:textId="77777777" w:rsidR="006E4472" w:rsidRPr="00BF6FD3" w:rsidRDefault="006E4472" w:rsidP="00B30311">
            <w:pPr>
              <w:jc w:val="center"/>
              <w:rPr>
                <w:rFonts w:eastAsia="Calibri"/>
              </w:rPr>
            </w:pPr>
          </w:p>
          <w:p w14:paraId="105B5C19" w14:textId="77777777" w:rsidR="006E4472" w:rsidRPr="00BF6FD3" w:rsidRDefault="006E4472" w:rsidP="00B30311">
            <w:pPr>
              <w:jc w:val="center"/>
              <w:rPr>
                <w:rFonts w:eastAsia="Calibri"/>
              </w:rPr>
            </w:pPr>
            <w:r w:rsidRPr="00EE0137">
              <w:rPr>
                <w:noProof/>
              </w:rPr>
              <w:drawing>
                <wp:inline distT="0" distB="0" distL="0" distR="0" wp14:anchorId="698AC8A6" wp14:editId="0C4076C1">
                  <wp:extent cx="5943600" cy="3343275"/>
                  <wp:effectExtent l="0" t="0" r="0"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6E4472" w:rsidRPr="00BF6FD3" w14:paraId="1586A593" w14:textId="77777777" w:rsidTr="00B30311">
        <w:trPr>
          <w:trHeight w:val="216"/>
          <w:jc w:val="center"/>
        </w:trPr>
        <w:tc>
          <w:tcPr>
            <w:tcW w:w="4680" w:type="dxa"/>
            <w:tcBorders>
              <w:bottom w:val="single" w:sz="4" w:space="0" w:color="auto"/>
            </w:tcBorders>
            <w:vAlign w:val="center"/>
          </w:tcPr>
          <w:p w14:paraId="52D98126" w14:textId="77777777" w:rsidR="006E4472" w:rsidRPr="00BF6FD3" w:rsidRDefault="006E4472" w:rsidP="00B30311">
            <w:pPr>
              <w:jc w:val="center"/>
              <w:rPr>
                <w:rFonts w:eastAsia="Calibri"/>
              </w:rPr>
            </w:pPr>
          </w:p>
        </w:tc>
        <w:tc>
          <w:tcPr>
            <w:tcW w:w="4680" w:type="dxa"/>
            <w:tcBorders>
              <w:bottom w:val="single" w:sz="4" w:space="0" w:color="auto"/>
            </w:tcBorders>
            <w:vAlign w:val="center"/>
          </w:tcPr>
          <w:p w14:paraId="7D3C8351" w14:textId="77777777" w:rsidR="006E4472" w:rsidRPr="00BF6FD3" w:rsidRDefault="006E4472" w:rsidP="00B30311">
            <w:pPr>
              <w:jc w:val="center"/>
              <w:rPr>
                <w:rFonts w:eastAsia="Calibri"/>
              </w:rPr>
            </w:pPr>
          </w:p>
        </w:tc>
      </w:tr>
    </w:tbl>
    <w:p w14:paraId="79CA4771" w14:textId="483E0EE7" w:rsidR="006F2822" w:rsidRDefault="006F2822" w:rsidP="000A3DFB">
      <w:pPr>
        <w:pStyle w:val="NoSpacing"/>
        <w:spacing w:line="480" w:lineRule="auto"/>
        <w:rPr>
          <w:rFonts w:ascii="Times New Roman" w:hAnsi="Times New Roman" w:cs="Times New Roman"/>
          <w:sz w:val="24"/>
          <w:szCs w:val="24"/>
        </w:rPr>
      </w:pPr>
    </w:p>
    <w:p w14:paraId="10C29FA3" w14:textId="7EC9262F" w:rsidR="0029215B" w:rsidRDefault="000A3DFB" w:rsidP="00E524F5">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ab/>
      </w:r>
      <w:r w:rsidRPr="000A3DFB">
        <w:rPr>
          <w:rFonts w:ascii="Times New Roman" w:hAnsi="Times New Roman" w:cs="Times New Roman"/>
          <w:sz w:val="24"/>
          <w:szCs w:val="24"/>
        </w:rPr>
        <w:t xml:space="preserve">Figure </w:t>
      </w:r>
      <w:r w:rsidR="00247CF0">
        <w:rPr>
          <w:rFonts w:ascii="Times New Roman" w:hAnsi="Times New Roman" w:cs="Times New Roman"/>
          <w:sz w:val="24"/>
          <w:szCs w:val="24"/>
        </w:rPr>
        <w:t>14</w:t>
      </w:r>
      <w:r>
        <w:rPr>
          <w:rFonts w:ascii="Times New Roman" w:hAnsi="Times New Roman" w:cs="Times New Roman"/>
          <w:sz w:val="24"/>
          <w:szCs w:val="24"/>
        </w:rPr>
        <w:t xml:space="preserve"> </w:t>
      </w:r>
      <w:r w:rsidR="00EE0137">
        <w:rPr>
          <w:rFonts w:ascii="Times New Roman" w:hAnsi="Times New Roman" w:cs="Times New Roman"/>
          <w:sz w:val="24"/>
          <w:szCs w:val="24"/>
        </w:rPr>
        <w:t xml:space="preserve">provides some limited evidence of the declining, direct contribution of rivalry density to intra-regional conflict. </w:t>
      </w:r>
      <w:r w:rsidR="00D0434E">
        <w:rPr>
          <w:rFonts w:ascii="Times New Roman" w:hAnsi="Times New Roman" w:cs="Times New Roman"/>
          <w:sz w:val="24"/>
          <w:szCs w:val="24"/>
        </w:rPr>
        <w:t xml:space="preserve">We know rivalries are pernicious in terms of their impacts on conflict. We expect rivalry fields would </w:t>
      </w:r>
      <w:r w:rsidR="00544CBA">
        <w:rPr>
          <w:rFonts w:ascii="Times New Roman" w:hAnsi="Times New Roman" w:cs="Times New Roman"/>
          <w:sz w:val="24"/>
          <w:szCs w:val="24"/>
        </w:rPr>
        <w:t xml:space="preserve">have similar consequences. </w:t>
      </w:r>
      <w:r w:rsidR="000353C7">
        <w:rPr>
          <w:rFonts w:ascii="Times New Roman" w:hAnsi="Times New Roman" w:cs="Times New Roman"/>
          <w:sz w:val="24"/>
          <w:szCs w:val="24"/>
        </w:rPr>
        <w:t xml:space="preserve">We expect though different </w:t>
      </w:r>
      <w:r w:rsidR="000353C7">
        <w:rPr>
          <w:rFonts w:ascii="Times New Roman" w:hAnsi="Times New Roman" w:cs="Times New Roman"/>
          <w:sz w:val="24"/>
          <w:szCs w:val="24"/>
        </w:rPr>
        <w:lastRenderedPageBreak/>
        <w:t>levels of rivalry field density would be associated with different levels of conflict</w:t>
      </w:r>
      <w:r w:rsidR="00D0434E">
        <w:rPr>
          <w:rFonts w:ascii="Times New Roman" w:hAnsi="Times New Roman" w:cs="Times New Roman"/>
          <w:sz w:val="24"/>
          <w:szCs w:val="24"/>
        </w:rPr>
        <w:t>. This is essentially what we find in terms of the changing density field in the Middle East</w:t>
      </w:r>
      <w:r w:rsidR="00E524F5">
        <w:rPr>
          <w:rFonts w:ascii="Times New Roman" w:hAnsi="Times New Roman" w:cs="Times New Roman"/>
          <w:sz w:val="24"/>
          <w:szCs w:val="24"/>
        </w:rPr>
        <w:t xml:space="preserve">. </w:t>
      </w:r>
      <w:r w:rsidR="00EE0137">
        <w:rPr>
          <w:rFonts w:ascii="Times New Roman" w:hAnsi="Times New Roman" w:cs="Times New Roman"/>
          <w:sz w:val="24"/>
          <w:szCs w:val="24"/>
        </w:rPr>
        <w:t>During the period of rivalry density growth</w:t>
      </w:r>
      <w:r w:rsidR="00A86788">
        <w:rPr>
          <w:rFonts w:ascii="Times New Roman" w:hAnsi="Times New Roman" w:cs="Times New Roman"/>
          <w:sz w:val="24"/>
          <w:szCs w:val="24"/>
        </w:rPr>
        <w:t>,</w:t>
      </w:r>
      <w:r w:rsidR="00EE0137">
        <w:rPr>
          <w:rFonts w:ascii="Times New Roman" w:hAnsi="Times New Roman" w:cs="Times New Roman"/>
          <w:sz w:val="24"/>
          <w:szCs w:val="24"/>
        </w:rPr>
        <w:t xml:space="preserve"> some 80 percent of severe MIDs occur</w:t>
      </w:r>
      <w:r w:rsidR="00B7716A">
        <w:rPr>
          <w:rFonts w:ascii="Times New Roman" w:hAnsi="Times New Roman" w:cs="Times New Roman"/>
          <w:sz w:val="24"/>
          <w:szCs w:val="24"/>
        </w:rPr>
        <w:t xml:space="preserve">ring in the region involve rivals. </w:t>
      </w:r>
      <w:r w:rsidR="00EE0137">
        <w:rPr>
          <w:rFonts w:ascii="Times New Roman" w:hAnsi="Times New Roman" w:cs="Times New Roman"/>
          <w:sz w:val="24"/>
          <w:szCs w:val="24"/>
        </w:rPr>
        <w:t xml:space="preserve">During periods of stable rivalry densities, that percentage is reduced to about </w:t>
      </w:r>
      <w:r w:rsidR="005302EC">
        <w:rPr>
          <w:rFonts w:ascii="Times New Roman" w:hAnsi="Times New Roman" w:cs="Times New Roman"/>
          <w:sz w:val="24"/>
          <w:szCs w:val="24"/>
        </w:rPr>
        <w:t xml:space="preserve">54 </w:t>
      </w:r>
      <w:r w:rsidR="00EE0137">
        <w:rPr>
          <w:rFonts w:ascii="Times New Roman" w:hAnsi="Times New Roman" w:cs="Times New Roman"/>
          <w:sz w:val="24"/>
          <w:szCs w:val="24"/>
        </w:rPr>
        <w:t xml:space="preserve">percent, while </w:t>
      </w:r>
      <w:r w:rsidR="00684CCE">
        <w:rPr>
          <w:rFonts w:ascii="Times New Roman" w:hAnsi="Times New Roman" w:cs="Times New Roman"/>
          <w:sz w:val="24"/>
          <w:szCs w:val="24"/>
        </w:rPr>
        <w:t xml:space="preserve">during </w:t>
      </w:r>
      <w:r w:rsidR="00EE0137">
        <w:rPr>
          <w:rFonts w:ascii="Times New Roman" w:hAnsi="Times New Roman" w:cs="Times New Roman"/>
          <w:sz w:val="24"/>
          <w:szCs w:val="24"/>
        </w:rPr>
        <w:t xml:space="preserve">the period of lower densities only some </w:t>
      </w:r>
      <w:r w:rsidR="005302EC">
        <w:rPr>
          <w:rFonts w:ascii="Times New Roman" w:hAnsi="Times New Roman" w:cs="Times New Roman"/>
          <w:sz w:val="24"/>
          <w:szCs w:val="24"/>
        </w:rPr>
        <w:t xml:space="preserve">22 </w:t>
      </w:r>
      <w:r w:rsidR="00EE0137">
        <w:rPr>
          <w:rFonts w:ascii="Times New Roman" w:hAnsi="Times New Roman" w:cs="Times New Roman"/>
          <w:sz w:val="24"/>
          <w:szCs w:val="24"/>
        </w:rPr>
        <w:t>percent of severe MIDs are directly associated with the rivalry field</w:t>
      </w:r>
      <w:r w:rsidR="000353C7">
        <w:rPr>
          <w:rFonts w:ascii="Times New Roman" w:hAnsi="Times New Roman" w:cs="Times New Roman"/>
          <w:sz w:val="24"/>
          <w:szCs w:val="24"/>
        </w:rPr>
        <w:t>.</w:t>
      </w:r>
      <w:r w:rsidR="00EE5D38">
        <w:rPr>
          <w:rFonts w:ascii="Times New Roman" w:hAnsi="Times New Roman" w:cs="Times New Roman"/>
          <w:sz w:val="24"/>
          <w:szCs w:val="24"/>
        </w:rPr>
        <w:t xml:space="preserve"> </w:t>
      </w:r>
      <w:r w:rsidR="00B7716A">
        <w:rPr>
          <w:rFonts w:ascii="Times New Roman" w:hAnsi="Times New Roman" w:cs="Times New Roman"/>
          <w:sz w:val="24"/>
          <w:szCs w:val="24"/>
        </w:rPr>
        <w:t xml:space="preserve">As the figure demonstrates, clearly the most conflict associated with rivalry fields is during the growth in the field. While stable and lower density eras are associated with </w:t>
      </w:r>
      <w:r w:rsidR="00EE5D38">
        <w:rPr>
          <w:rFonts w:ascii="Times New Roman" w:hAnsi="Times New Roman" w:cs="Times New Roman"/>
          <w:sz w:val="24"/>
          <w:szCs w:val="24"/>
        </w:rPr>
        <w:t xml:space="preserve">a lower </w:t>
      </w:r>
      <w:r w:rsidR="00B7716A">
        <w:rPr>
          <w:rFonts w:ascii="Times New Roman" w:hAnsi="Times New Roman" w:cs="Times New Roman"/>
          <w:sz w:val="24"/>
          <w:szCs w:val="24"/>
        </w:rPr>
        <w:t xml:space="preserve">percentage of conflicts in which rivals are directly engaged, the era of lower density demonstrates the fewest direct conflicts being generated by rivalry members with each other. </w:t>
      </w:r>
    </w:p>
    <w:p w14:paraId="4B11B0BE" w14:textId="77777777" w:rsidR="003503F1" w:rsidRPr="008A74B2" w:rsidRDefault="003503F1" w:rsidP="005464E8">
      <w:pPr>
        <w:spacing w:line="480" w:lineRule="auto"/>
        <w:outlineLvl w:val="0"/>
        <w:rPr>
          <w:rFonts w:ascii="Times New Roman" w:hAnsi="Times New Roman" w:cs="Times New Roman"/>
          <w:b/>
          <w:i/>
          <w:sz w:val="24"/>
          <w:szCs w:val="24"/>
        </w:rPr>
      </w:pPr>
      <w:r w:rsidRPr="008A74B2">
        <w:rPr>
          <w:rFonts w:ascii="Times New Roman" w:hAnsi="Times New Roman" w:cs="Times New Roman"/>
          <w:b/>
          <w:i/>
          <w:sz w:val="24"/>
          <w:szCs w:val="24"/>
        </w:rPr>
        <w:t>Political Shocks and Rivalry Fields</w:t>
      </w:r>
    </w:p>
    <w:p w14:paraId="19CD15CF" w14:textId="1711FC4D" w:rsidR="0029215B" w:rsidRDefault="0029215B" w:rsidP="0029215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Note however </w:t>
      </w:r>
      <w:r w:rsidR="00FF705D">
        <w:rPr>
          <w:rFonts w:ascii="Times New Roman" w:hAnsi="Times New Roman" w:cs="Times New Roman"/>
          <w:sz w:val="24"/>
          <w:szCs w:val="24"/>
        </w:rPr>
        <w:t xml:space="preserve">that </w:t>
      </w:r>
      <w:r>
        <w:rPr>
          <w:rFonts w:ascii="Times New Roman" w:hAnsi="Times New Roman" w:cs="Times New Roman"/>
          <w:sz w:val="24"/>
          <w:szCs w:val="24"/>
        </w:rPr>
        <w:t xml:space="preserve">even a dramatic decline in the rivalry field fails to augur </w:t>
      </w:r>
      <w:r w:rsidR="00E524F5">
        <w:rPr>
          <w:rFonts w:ascii="Times New Roman" w:hAnsi="Times New Roman" w:cs="Times New Roman"/>
          <w:sz w:val="24"/>
          <w:szCs w:val="24"/>
        </w:rPr>
        <w:t xml:space="preserve">the end of </w:t>
      </w:r>
      <w:r>
        <w:rPr>
          <w:rFonts w:ascii="Times New Roman" w:hAnsi="Times New Roman" w:cs="Times New Roman"/>
          <w:sz w:val="24"/>
          <w:szCs w:val="24"/>
        </w:rPr>
        <w:t>substantial conflict</w:t>
      </w:r>
      <w:r w:rsidR="00E524F5">
        <w:rPr>
          <w:rFonts w:ascii="Times New Roman" w:hAnsi="Times New Roman" w:cs="Times New Roman"/>
          <w:sz w:val="24"/>
          <w:szCs w:val="24"/>
        </w:rPr>
        <w:t>s</w:t>
      </w:r>
      <w:r>
        <w:rPr>
          <w:rFonts w:ascii="Times New Roman" w:hAnsi="Times New Roman" w:cs="Times New Roman"/>
          <w:sz w:val="24"/>
          <w:szCs w:val="24"/>
        </w:rPr>
        <w:t xml:space="preserve"> in the region: although the </w:t>
      </w:r>
      <w:r w:rsidR="00684CCE">
        <w:rPr>
          <w:rFonts w:ascii="Times New Roman" w:hAnsi="Times New Roman" w:cs="Times New Roman"/>
          <w:sz w:val="24"/>
          <w:szCs w:val="24"/>
        </w:rPr>
        <w:t xml:space="preserve">density of the </w:t>
      </w:r>
      <w:r>
        <w:rPr>
          <w:rFonts w:ascii="Times New Roman" w:hAnsi="Times New Roman" w:cs="Times New Roman"/>
          <w:sz w:val="24"/>
          <w:szCs w:val="24"/>
        </w:rPr>
        <w:t>rivalry field is dramatically reduced</w:t>
      </w:r>
      <w:r w:rsidR="00C4571D">
        <w:rPr>
          <w:rFonts w:ascii="Times New Roman" w:hAnsi="Times New Roman" w:cs="Times New Roman"/>
          <w:sz w:val="24"/>
          <w:szCs w:val="24"/>
        </w:rPr>
        <w:t xml:space="preserve"> in the period we designate as “lower density</w:t>
      </w:r>
      <w:r w:rsidR="00975018">
        <w:rPr>
          <w:rFonts w:ascii="Times New Roman" w:hAnsi="Times New Roman" w:cs="Times New Roman"/>
          <w:sz w:val="24"/>
          <w:szCs w:val="24"/>
        </w:rPr>
        <w:t>,</w:t>
      </w:r>
      <w:r w:rsidR="00C4571D">
        <w:rPr>
          <w:rFonts w:ascii="Times New Roman" w:hAnsi="Times New Roman" w:cs="Times New Roman"/>
          <w:sz w:val="24"/>
          <w:szCs w:val="24"/>
        </w:rPr>
        <w:t>”</w:t>
      </w:r>
      <w:r>
        <w:rPr>
          <w:rFonts w:ascii="Times New Roman" w:hAnsi="Times New Roman" w:cs="Times New Roman"/>
          <w:sz w:val="24"/>
          <w:szCs w:val="24"/>
        </w:rPr>
        <w:t xml:space="preserve"> th</w:t>
      </w:r>
      <w:r w:rsidR="00C4571D">
        <w:rPr>
          <w:rFonts w:ascii="Times New Roman" w:hAnsi="Times New Roman" w:cs="Times New Roman"/>
          <w:sz w:val="24"/>
          <w:szCs w:val="24"/>
        </w:rPr>
        <w:t>is</w:t>
      </w:r>
      <w:r>
        <w:rPr>
          <w:rFonts w:ascii="Times New Roman" w:hAnsi="Times New Roman" w:cs="Times New Roman"/>
          <w:sz w:val="24"/>
          <w:szCs w:val="24"/>
        </w:rPr>
        <w:t xml:space="preserve"> most recent period still exhibits nearly </w:t>
      </w:r>
      <w:r w:rsidR="008A1792">
        <w:rPr>
          <w:rFonts w:ascii="Times New Roman" w:hAnsi="Times New Roman" w:cs="Times New Roman"/>
          <w:sz w:val="24"/>
          <w:szCs w:val="24"/>
        </w:rPr>
        <w:t xml:space="preserve">70 </w:t>
      </w:r>
      <w:r>
        <w:rPr>
          <w:rFonts w:ascii="Times New Roman" w:hAnsi="Times New Roman" w:cs="Times New Roman"/>
          <w:sz w:val="24"/>
          <w:szCs w:val="24"/>
        </w:rPr>
        <w:t xml:space="preserve">percent of the conflicts </w:t>
      </w:r>
      <w:r w:rsidR="00C4571D">
        <w:rPr>
          <w:rFonts w:ascii="Times New Roman" w:hAnsi="Times New Roman" w:cs="Times New Roman"/>
          <w:sz w:val="24"/>
          <w:szCs w:val="24"/>
        </w:rPr>
        <w:t>occurring</w:t>
      </w:r>
      <w:r>
        <w:rPr>
          <w:rFonts w:ascii="Times New Roman" w:hAnsi="Times New Roman" w:cs="Times New Roman"/>
          <w:sz w:val="24"/>
          <w:szCs w:val="24"/>
        </w:rPr>
        <w:t xml:space="preserve"> in the previous period. Furthermore, during the era of stable density, the actual number of severe MIDs is at its highest </w:t>
      </w:r>
      <w:r w:rsidR="00684CCE">
        <w:rPr>
          <w:rFonts w:ascii="Times New Roman" w:hAnsi="Times New Roman" w:cs="Times New Roman"/>
          <w:sz w:val="24"/>
          <w:szCs w:val="24"/>
        </w:rPr>
        <w:t xml:space="preserve">and is </w:t>
      </w:r>
      <w:r>
        <w:rPr>
          <w:rFonts w:ascii="Times New Roman" w:hAnsi="Times New Roman" w:cs="Times New Roman"/>
          <w:sz w:val="24"/>
          <w:szCs w:val="24"/>
        </w:rPr>
        <w:t xml:space="preserve">not directly attributable to the density field. </w:t>
      </w:r>
    </w:p>
    <w:p w14:paraId="10397474" w14:textId="6972B3AD" w:rsidR="000353C7" w:rsidRDefault="000353C7" w:rsidP="000353C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Nevertheless, changes to the rivalry field appear to matter for patterns of conflict in the Middle East, and this relationship raises the larger question of under </w:t>
      </w:r>
      <w:r w:rsidR="00C76821">
        <w:rPr>
          <w:rFonts w:ascii="Times New Roman" w:hAnsi="Times New Roman" w:cs="Times New Roman"/>
          <w:sz w:val="24"/>
          <w:szCs w:val="24"/>
        </w:rPr>
        <w:t>what</w:t>
      </w:r>
      <w:r>
        <w:rPr>
          <w:rFonts w:ascii="Times New Roman" w:hAnsi="Times New Roman" w:cs="Times New Roman"/>
          <w:sz w:val="24"/>
          <w:szCs w:val="24"/>
        </w:rPr>
        <w:t xml:space="preserve"> conditions may the field change. One strong argument made in this collection concerns the potential effects of political shocks on rivalry fields, and thus on intra-regional conflict. Thompson’s</w:t>
      </w:r>
      <w:r w:rsidR="00C76821">
        <w:rPr>
          <w:rFonts w:ascii="Times New Roman" w:hAnsi="Times New Roman" w:cs="Times New Roman"/>
          <w:sz w:val="24"/>
          <w:szCs w:val="24"/>
        </w:rPr>
        <w:t xml:space="preserve"> (2018)</w:t>
      </w:r>
      <w:r>
        <w:rPr>
          <w:rFonts w:ascii="Times New Roman" w:hAnsi="Times New Roman" w:cs="Times New Roman"/>
          <w:sz w:val="24"/>
          <w:szCs w:val="24"/>
        </w:rPr>
        <w:t xml:space="preserve"> chapter in this volume suggests evidence that virtually all changes in the rivalry field, either terminating </w:t>
      </w:r>
      <w:r>
        <w:rPr>
          <w:rFonts w:ascii="Times New Roman" w:hAnsi="Times New Roman" w:cs="Times New Roman"/>
          <w:sz w:val="24"/>
          <w:szCs w:val="24"/>
        </w:rPr>
        <w:lastRenderedPageBreak/>
        <w:t xml:space="preserve">or initiating </w:t>
      </w:r>
      <w:r w:rsidR="001E6B0D">
        <w:rPr>
          <w:rFonts w:ascii="Times New Roman" w:hAnsi="Times New Roman" w:cs="Times New Roman"/>
          <w:sz w:val="24"/>
          <w:szCs w:val="24"/>
        </w:rPr>
        <w:t>rivalries</w:t>
      </w:r>
      <w:r>
        <w:rPr>
          <w:rFonts w:ascii="Times New Roman" w:hAnsi="Times New Roman" w:cs="Times New Roman"/>
          <w:sz w:val="24"/>
          <w:szCs w:val="24"/>
        </w:rPr>
        <w:t>, are accompanied by, or immediately preceded by substantial political shocks in the region.</w:t>
      </w:r>
      <w:r w:rsidR="005464E8">
        <w:rPr>
          <w:rFonts w:ascii="Times New Roman" w:hAnsi="Times New Roman" w:cs="Times New Roman"/>
          <w:sz w:val="24"/>
          <w:szCs w:val="24"/>
        </w:rPr>
        <w:t xml:space="preserve"> </w:t>
      </w:r>
    </w:p>
    <w:p w14:paraId="0211CFE6" w14:textId="18FA1444" w:rsidR="003614AD" w:rsidRDefault="00741963" w:rsidP="003614A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have no valid, meaningful database with which to assess the range of political shocks experienced in the Middle East or in other regions. </w:t>
      </w:r>
      <w:r w:rsidR="00E46CC8">
        <w:rPr>
          <w:rFonts w:ascii="Times New Roman" w:hAnsi="Times New Roman" w:cs="Times New Roman"/>
          <w:sz w:val="24"/>
          <w:szCs w:val="24"/>
        </w:rPr>
        <w:t xml:space="preserve">Collecting this information </w:t>
      </w:r>
      <w:r>
        <w:rPr>
          <w:rFonts w:ascii="Times New Roman" w:hAnsi="Times New Roman" w:cs="Times New Roman"/>
          <w:sz w:val="24"/>
          <w:szCs w:val="24"/>
        </w:rPr>
        <w:t>is a project worthy of further pursuit</w:t>
      </w:r>
      <w:r w:rsidR="00E46CC8">
        <w:rPr>
          <w:rFonts w:ascii="Times New Roman" w:hAnsi="Times New Roman" w:cs="Times New Roman"/>
          <w:sz w:val="24"/>
          <w:szCs w:val="24"/>
        </w:rPr>
        <w:t xml:space="preserve"> but necessarily beyond our own efforts here</w:t>
      </w:r>
      <w:r>
        <w:rPr>
          <w:rFonts w:ascii="Times New Roman" w:hAnsi="Times New Roman" w:cs="Times New Roman"/>
          <w:sz w:val="24"/>
          <w:szCs w:val="24"/>
        </w:rPr>
        <w:t xml:space="preserve">. We </w:t>
      </w:r>
      <w:r w:rsidR="000353C7">
        <w:rPr>
          <w:rFonts w:ascii="Times New Roman" w:hAnsi="Times New Roman" w:cs="Times New Roman"/>
          <w:sz w:val="24"/>
          <w:szCs w:val="24"/>
        </w:rPr>
        <w:t>suspect</w:t>
      </w:r>
      <w:r>
        <w:rPr>
          <w:rFonts w:ascii="Times New Roman" w:hAnsi="Times New Roman" w:cs="Times New Roman"/>
          <w:sz w:val="24"/>
          <w:szCs w:val="24"/>
        </w:rPr>
        <w:t>, however, that the Middle East is also a likely candidate for having experienced more political shocks than any other region; un</w:t>
      </w:r>
      <w:r w:rsidR="003614AD">
        <w:rPr>
          <w:rFonts w:ascii="Times New Roman" w:hAnsi="Times New Roman" w:cs="Times New Roman"/>
          <w:sz w:val="24"/>
          <w:szCs w:val="24"/>
        </w:rPr>
        <w:t xml:space="preserve">til an appropriate database is developed, that remains a </w:t>
      </w:r>
      <w:r w:rsidR="000353C7">
        <w:rPr>
          <w:rFonts w:ascii="Times New Roman" w:hAnsi="Times New Roman" w:cs="Times New Roman"/>
          <w:sz w:val="24"/>
          <w:szCs w:val="24"/>
        </w:rPr>
        <w:t>suspicion</w:t>
      </w:r>
      <w:r w:rsidR="003614AD">
        <w:rPr>
          <w:rFonts w:ascii="Times New Roman" w:hAnsi="Times New Roman" w:cs="Times New Roman"/>
          <w:sz w:val="24"/>
          <w:szCs w:val="24"/>
        </w:rPr>
        <w:t xml:space="preserve">, but many events </w:t>
      </w:r>
      <w:r w:rsidR="00544CBA">
        <w:rPr>
          <w:rFonts w:ascii="Times New Roman" w:hAnsi="Times New Roman" w:cs="Times New Roman"/>
          <w:sz w:val="24"/>
          <w:szCs w:val="24"/>
        </w:rPr>
        <w:t xml:space="preserve">in the region </w:t>
      </w:r>
      <w:r w:rsidR="003614AD">
        <w:rPr>
          <w:rFonts w:ascii="Times New Roman" w:hAnsi="Times New Roman" w:cs="Times New Roman"/>
          <w:sz w:val="24"/>
          <w:szCs w:val="24"/>
        </w:rPr>
        <w:t>can be enumerated as appropriate political shocks with both short-term and long-term implications.</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5"/>
        <w:gridCol w:w="4605"/>
      </w:tblGrid>
      <w:tr w:rsidR="00E74168" w:rsidRPr="00BF6FD3" w14:paraId="3C8CF677" w14:textId="77777777" w:rsidTr="00B30311">
        <w:trPr>
          <w:trHeight w:val="470"/>
          <w:jc w:val="center"/>
        </w:trPr>
        <w:tc>
          <w:tcPr>
            <w:tcW w:w="9360" w:type="dxa"/>
            <w:gridSpan w:val="2"/>
            <w:tcBorders>
              <w:bottom w:val="single" w:sz="4" w:space="0" w:color="auto"/>
            </w:tcBorders>
            <w:vAlign w:val="center"/>
          </w:tcPr>
          <w:p w14:paraId="3378CE3E" w14:textId="77777777" w:rsidR="00E74168" w:rsidRPr="00643E05" w:rsidRDefault="00E74168" w:rsidP="00B30311">
            <w:pPr>
              <w:rPr>
                <w:rFonts w:eastAsia="Calibri"/>
                <w:b/>
                <w:bCs/>
              </w:rPr>
            </w:pPr>
            <w:r w:rsidRPr="0023011B">
              <w:rPr>
                <w:rFonts w:eastAsia="Calibri"/>
                <w:b/>
                <w:bCs/>
              </w:rPr>
              <w:t>Figure 15. Density of the Middle East Rivalry Field and Selected Regional Shocks, 1951-2015.</w:t>
            </w:r>
          </w:p>
        </w:tc>
      </w:tr>
      <w:tr w:rsidR="00E74168" w:rsidRPr="00BF6FD3" w14:paraId="33AD7CE0" w14:textId="77777777" w:rsidTr="00B30311">
        <w:trPr>
          <w:jc w:val="center"/>
        </w:trPr>
        <w:tc>
          <w:tcPr>
            <w:tcW w:w="9360" w:type="dxa"/>
            <w:gridSpan w:val="2"/>
            <w:vAlign w:val="center"/>
          </w:tcPr>
          <w:p w14:paraId="06D81A30" w14:textId="77777777" w:rsidR="00E74168" w:rsidRPr="00BF6FD3" w:rsidRDefault="00E74168" w:rsidP="00B30311">
            <w:pPr>
              <w:jc w:val="center"/>
              <w:rPr>
                <w:rFonts w:eastAsia="Calibri"/>
              </w:rPr>
            </w:pPr>
          </w:p>
          <w:p w14:paraId="2B714695" w14:textId="77777777" w:rsidR="00E74168" w:rsidRPr="00BF6FD3" w:rsidRDefault="00E74168" w:rsidP="00B30311">
            <w:pPr>
              <w:jc w:val="center"/>
              <w:rPr>
                <w:rFonts w:eastAsia="Calibri"/>
              </w:rPr>
            </w:pPr>
            <w:r w:rsidRPr="003614AD">
              <w:rPr>
                <w:noProof/>
              </w:rPr>
              <w:drawing>
                <wp:inline distT="0" distB="0" distL="0" distR="0" wp14:anchorId="27144A09" wp14:editId="3290DDBE">
                  <wp:extent cx="5943600" cy="334327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E74168" w:rsidRPr="00BF6FD3" w14:paraId="4F1D034C" w14:textId="77777777" w:rsidTr="00B30311">
        <w:trPr>
          <w:trHeight w:val="216"/>
          <w:jc w:val="center"/>
        </w:trPr>
        <w:tc>
          <w:tcPr>
            <w:tcW w:w="4680" w:type="dxa"/>
            <w:tcBorders>
              <w:bottom w:val="single" w:sz="4" w:space="0" w:color="auto"/>
            </w:tcBorders>
            <w:vAlign w:val="center"/>
          </w:tcPr>
          <w:p w14:paraId="219C6070" w14:textId="77777777" w:rsidR="00E74168" w:rsidRPr="00BF6FD3" w:rsidRDefault="00E74168" w:rsidP="00B30311">
            <w:pPr>
              <w:jc w:val="center"/>
              <w:rPr>
                <w:rFonts w:eastAsia="Calibri"/>
              </w:rPr>
            </w:pPr>
          </w:p>
        </w:tc>
        <w:tc>
          <w:tcPr>
            <w:tcW w:w="4680" w:type="dxa"/>
            <w:tcBorders>
              <w:bottom w:val="single" w:sz="4" w:space="0" w:color="auto"/>
            </w:tcBorders>
            <w:vAlign w:val="center"/>
          </w:tcPr>
          <w:p w14:paraId="072C71F9" w14:textId="77777777" w:rsidR="00E74168" w:rsidRPr="00BF6FD3" w:rsidRDefault="00E74168" w:rsidP="00B30311">
            <w:pPr>
              <w:jc w:val="center"/>
              <w:rPr>
                <w:rFonts w:eastAsia="Calibri"/>
              </w:rPr>
            </w:pPr>
          </w:p>
        </w:tc>
      </w:tr>
    </w:tbl>
    <w:p w14:paraId="6352BCFA" w14:textId="6956EACD" w:rsidR="00741963" w:rsidRDefault="003614AD" w:rsidP="00721B74">
      <w:pPr>
        <w:spacing w:before="160" w:line="480" w:lineRule="auto"/>
        <w:rPr>
          <w:rFonts w:ascii="Times New Roman" w:hAnsi="Times New Roman" w:cs="Times New Roman"/>
          <w:sz w:val="24"/>
          <w:szCs w:val="24"/>
        </w:rPr>
      </w:pPr>
      <w:r>
        <w:rPr>
          <w:rFonts w:ascii="Times New Roman" w:hAnsi="Times New Roman" w:cs="Times New Roman"/>
          <w:sz w:val="24"/>
          <w:szCs w:val="24"/>
        </w:rPr>
        <w:tab/>
      </w:r>
      <w:r w:rsidR="00741963">
        <w:rPr>
          <w:rFonts w:ascii="Times New Roman" w:hAnsi="Times New Roman" w:cs="Times New Roman"/>
          <w:sz w:val="24"/>
          <w:szCs w:val="24"/>
        </w:rPr>
        <w:t xml:space="preserve">Consider a second look at the </w:t>
      </w:r>
      <w:r w:rsidR="00BC4E04">
        <w:rPr>
          <w:rFonts w:ascii="Times New Roman" w:hAnsi="Times New Roman" w:cs="Times New Roman"/>
          <w:sz w:val="24"/>
          <w:szCs w:val="24"/>
        </w:rPr>
        <w:t xml:space="preserve">density of the </w:t>
      </w:r>
      <w:r w:rsidR="00741963">
        <w:rPr>
          <w:rFonts w:ascii="Times New Roman" w:hAnsi="Times New Roman" w:cs="Times New Roman"/>
          <w:sz w:val="24"/>
          <w:szCs w:val="24"/>
        </w:rPr>
        <w:t>Middle East rivalry field and four key</w:t>
      </w:r>
      <w:r w:rsidR="00AD3431">
        <w:rPr>
          <w:rFonts w:ascii="Times New Roman" w:hAnsi="Times New Roman" w:cs="Times New Roman"/>
          <w:sz w:val="24"/>
          <w:szCs w:val="24"/>
        </w:rPr>
        <w:t xml:space="preserve"> political shocks in the region:</w:t>
      </w:r>
      <w:r w:rsidR="00741963">
        <w:rPr>
          <w:rFonts w:ascii="Times New Roman" w:hAnsi="Times New Roman" w:cs="Times New Roman"/>
          <w:sz w:val="24"/>
          <w:szCs w:val="24"/>
        </w:rPr>
        <w:t xml:space="preserve"> </w:t>
      </w:r>
      <w:r w:rsidR="00AD3431">
        <w:rPr>
          <w:rFonts w:ascii="Times New Roman" w:hAnsi="Times New Roman" w:cs="Times New Roman"/>
          <w:sz w:val="24"/>
          <w:szCs w:val="24"/>
        </w:rPr>
        <w:t xml:space="preserve">two domestically driven political shocks (the Nasser and the </w:t>
      </w:r>
      <w:r w:rsidR="00AD3431">
        <w:rPr>
          <w:rFonts w:ascii="Times New Roman" w:hAnsi="Times New Roman" w:cs="Times New Roman"/>
          <w:sz w:val="24"/>
          <w:szCs w:val="24"/>
        </w:rPr>
        <w:lastRenderedPageBreak/>
        <w:t>Khomeini revolutions emanating out of Egypt and Iran</w:t>
      </w:r>
      <w:r w:rsidR="000353C7">
        <w:rPr>
          <w:rFonts w:ascii="Times New Roman" w:hAnsi="Times New Roman" w:cs="Times New Roman"/>
          <w:sz w:val="24"/>
          <w:szCs w:val="24"/>
        </w:rPr>
        <w:t xml:space="preserve"> respectively</w:t>
      </w:r>
      <w:r w:rsidR="00AD3431">
        <w:rPr>
          <w:rFonts w:ascii="Times New Roman" w:hAnsi="Times New Roman" w:cs="Times New Roman"/>
          <w:sz w:val="24"/>
          <w:szCs w:val="24"/>
        </w:rPr>
        <w:t xml:space="preserve">), one external military intrusion into the region by the U.S. </w:t>
      </w:r>
      <w:r w:rsidR="007D5CF8">
        <w:rPr>
          <w:rFonts w:ascii="Times New Roman" w:hAnsi="Times New Roman" w:cs="Times New Roman"/>
          <w:sz w:val="24"/>
          <w:szCs w:val="24"/>
        </w:rPr>
        <w:t xml:space="preserve">eliminating </w:t>
      </w:r>
      <w:r w:rsidR="00AD3431">
        <w:rPr>
          <w:rFonts w:ascii="Times New Roman" w:hAnsi="Times New Roman" w:cs="Times New Roman"/>
          <w:sz w:val="24"/>
          <w:szCs w:val="24"/>
        </w:rPr>
        <w:t>the Saddam Hussein regime in 2003, and the Cold War’s end.</w:t>
      </w:r>
      <w:r w:rsidR="00741963">
        <w:rPr>
          <w:rFonts w:ascii="Times New Roman" w:hAnsi="Times New Roman" w:cs="Times New Roman"/>
          <w:sz w:val="24"/>
          <w:szCs w:val="24"/>
        </w:rPr>
        <w:t xml:space="preserve"> These are matched to the</w:t>
      </w:r>
      <w:r w:rsidR="007D5CF8">
        <w:rPr>
          <w:rFonts w:ascii="Times New Roman" w:hAnsi="Times New Roman" w:cs="Times New Roman"/>
          <w:sz w:val="24"/>
          <w:szCs w:val="24"/>
        </w:rPr>
        <w:t xml:space="preserve"> rivalry field’s</w:t>
      </w:r>
      <w:r w:rsidR="00741963">
        <w:rPr>
          <w:rFonts w:ascii="Times New Roman" w:hAnsi="Times New Roman" w:cs="Times New Roman"/>
          <w:sz w:val="24"/>
          <w:szCs w:val="24"/>
        </w:rPr>
        <w:t xml:space="preserve"> density in Figure </w:t>
      </w:r>
      <w:r w:rsidR="007D5CF8">
        <w:rPr>
          <w:rFonts w:ascii="Times New Roman" w:hAnsi="Times New Roman" w:cs="Times New Roman"/>
          <w:sz w:val="24"/>
          <w:szCs w:val="24"/>
        </w:rPr>
        <w:t>15</w:t>
      </w:r>
      <w:r>
        <w:rPr>
          <w:rFonts w:ascii="Times New Roman" w:hAnsi="Times New Roman" w:cs="Times New Roman"/>
          <w:sz w:val="24"/>
          <w:szCs w:val="24"/>
        </w:rPr>
        <w:t>.</w:t>
      </w:r>
    </w:p>
    <w:p w14:paraId="3EA6FD0E" w14:textId="6E4862E2" w:rsidR="00AD3431" w:rsidRDefault="00FE3BE4" w:rsidP="00AD3431">
      <w:pPr>
        <w:spacing w:line="480" w:lineRule="auto"/>
        <w:rPr>
          <w:rFonts w:ascii="Times New Roman" w:hAnsi="Times New Roman" w:cs="Times New Roman"/>
          <w:sz w:val="24"/>
          <w:szCs w:val="24"/>
        </w:rPr>
      </w:pPr>
      <w:r>
        <w:rPr>
          <w:rFonts w:ascii="Times New Roman" w:hAnsi="Times New Roman" w:cs="Times New Roman"/>
          <w:sz w:val="24"/>
          <w:szCs w:val="24"/>
        </w:rPr>
        <w:tab/>
      </w:r>
      <w:r w:rsidR="00AD3431">
        <w:rPr>
          <w:rFonts w:ascii="Times New Roman" w:hAnsi="Times New Roman" w:cs="Times New Roman"/>
          <w:sz w:val="24"/>
          <w:szCs w:val="24"/>
        </w:rPr>
        <w:t xml:space="preserve">Three of the four shocks appear to correspond to changes in the rivalry field. The Nasser revolution parallels the commencement of a substantial increase in </w:t>
      </w:r>
      <w:r w:rsidR="00544CBA">
        <w:rPr>
          <w:rFonts w:ascii="Times New Roman" w:hAnsi="Times New Roman" w:cs="Times New Roman"/>
          <w:sz w:val="24"/>
          <w:szCs w:val="24"/>
        </w:rPr>
        <w:t xml:space="preserve">the </w:t>
      </w:r>
      <w:r w:rsidR="003B7702">
        <w:rPr>
          <w:rFonts w:ascii="Times New Roman" w:hAnsi="Times New Roman" w:cs="Times New Roman"/>
          <w:sz w:val="24"/>
          <w:szCs w:val="24"/>
        </w:rPr>
        <w:t>rivalry field’s density</w:t>
      </w:r>
      <w:r w:rsidR="00544CBA">
        <w:rPr>
          <w:rFonts w:ascii="Times New Roman" w:hAnsi="Times New Roman" w:cs="Times New Roman"/>
          <w:sz w:val="24"/>
          <w:szCs w:val="24"/>
        </w:rPr>
        <w:t>,</w:t>
      </w:r>
      <w:r w:rsidR="00AD3431">
        <w:rPr>
          <w:rFonts w:ascii="Times New Roman" w:hAnsi="Times New Roman" w:cs="Times New Roman"/>
          <w:sz w:val="24"/>
          <w:szCs w:val="24"/>
        </w:rPr>
        <w:t xml:space="preserve"> reflecting both clashes between radical and conservative regimes and the fuller entanglement of these states in the Arab-Israeli conflict; the Khomeini revolution corresponds with the beginning of </w:t>
      </w:r>
      <w:r w:rsidR="00544CBA">
        <w:rPr>
          <w:rFonts w:ascii="Times New Roman" w:hAnsi="Times New Roman" w:cs="Times New Roman"/>
          <w:sz w:val="24"/>
          <w:szCs w:val="24"/>
        </w:rPr>
        <w:t xml:space="preserve">a </w:t>
      </w:r>
      <w:r w:rsidR="00AD3431">
        <w:rPr>
          <w:rFonts w:ascii="Times New Roman" w:hAnsi="Times New Roman" w:cs="Times New Roman"/>
          <w:sz w:val="24"/>
          <w:szCs w:val="24"/>
        </w:rPr>
        <w:t>stable density field; the</w:t>
      </w:r>
      <w:r w:rsidR="00E74168">
        <w:rPr>
          <w:rFonts w:ascii="Times New Roman" w:hAnsi="Times New Roman" w:cs="Times New Roman"/>
          <w:sz w:val="24"/>
          <w:szCs w:val="24"/>
        </w:rPr>
        <w:t xml:space="preserve"> 2003</w:t>
      </w:r>
      <w:r w:rsidR="00AD3431">
        <w:rPr>
          <w:rFonts w:ascii="Times New Roman" w:hAnsi="Times New Roman" w:cs="Times New Roman"/>
          <w:sz w:val="24"/>
          <w:szCs w:val="24"/>
        </w:rPr>
        <w:t xml:space="preserve"> American invasion of Iraq immediately precedes the dramatic decline in the </w:t>
      </w:r>
      <w:r w:rsidR="0027301D">
        <w:rPr>
          <w:rFonts w:ascii="Times New Roman" w:hAnsi="Times New Roman" w:cs="Times New Roman"/>
          <w:sz w:val="24"/>
          <w:szCs w:val="24"/>
        </w:rPr>
        <w:t>rivalry field’s density</w:t>
      </w:r>
      <w:r w:rsidR="00AD3431">
        <w:rPr>
          <w:rFonts w:ascii="Times New Roman" w:hAnsi="Times New Roman" w:cs="Times New Roman"/>
          <w:sz w:val="24"/>
          <w:szCs w:val="24"/>
        </w:rPr>
        <w:t>, as the invasion constitutes a very different shock since Iraq is pulled from the density field and the balance in power relations are tilted in the region. This case serves as a reminder that the effects of these shocks are typically to interrupt path dependencies: they can substantially increase or reduce the rivalry field</w:t>
      </w:r>
      <w:r w:rsidR="0027301D">
        <w:rPr>
          <w:rFonts w:ascii="Times New Roman" w:hAnsi="Times New Roman" w:cs="Times New Roman"/>
          <w:sz w:val="24"/>
          <w:szCs w:val="24"/>
        </w:rPr>
        <w:t>’s density</w:t>
      </w:r>
      <w:r w:rsidR="00AD3431">
        <w:rPr>
          <w:rFonts w:ascii="Times New Roman" w:hAnsi="Times New Roman" w:cs="Times New Roman"/>
          <w:sz w:val="24"/>
          <w:szCs w:val="24"/>
        </w:rPr>
        <w:t>.</w:t>
      </w:r>
      <w:r w:rsidR="005464E8">
        <w:rPr>
          <w:rFonts w:ascii="Times New Roman" w:hAnsi="Times New Roman" w:cs="Times New Roman"/>
          <w:sz w:val="24"/>
          <w:szCs w:val="24"/>
        </w:rPr>
        <w:t xml:space="preserve"> </w:t>
      </w:r>
      <w:r w:rsidR="00AD3431">
        <w:rPr>
          <w:rFonts w:ascii="Times New Roman" w:hAnsi="Times New Roman" w:cs="Times New Roman"/>
          <w:sz w:val="24"/>
          <w:szCs w:val="24"/>
        </w:rPr>
        <w:t>If the Cold War ha</w:t>
      </w:r>
      <w:r w:rsidR="0027301D">
        <w:rPr>
          <w:rFonts w:ascii="Times New Roman" w:hAnsi="Times New Roman" w:cs="Times New Roman"/>
          <w:sz w:val="24"/>
          <w:szCs w:val="24"/>
        </w:rPr>
        <w:t>d</w:t>
      </w:r>
      <w:r w:rsidR="00AD3431">
        <w:rPr>
          <w:rFonts w:ascii="Times New Roman" w:hAnsi="Times New Roman" w:cs="Times New Roman"/>
          <w:sz w:val="24"/>
          <w:szCs w:val="24"/>
        </w:rPr>
        <w:t xml:space="preserve"> a substantial impact on the field, it </w:t>
      </w:r>
      <w:r w:rsidR="0027301D">
        <w:rPr>
          <w:rFonts w:ascii="Times New Roman" w:hAnsi="Times New Roman" w:cs="Times New Roman"/>
          <w:sz w:val="24"/>
          <w:szCs w:val="24"/>
        </w:rPr>
        <w:t xml:space="preserve">appears </w:t>
      </w:r>
      <w:r w:rsidR="002C59FF">
        <w:rPr>
          <w:rFonts w:ascii="Times New Roman" w:hAnsi="Times New Roman" w:cs="Times New Roman"/>
          <w:sz w:val="24"/>
          <w:szCs w:val="24"/>
        </w:rPr>
        <w:t xml:space="preserve">that </w:t>
      </w:r>
      <w:r w:rsidR="00BC4E04">
        <w:rPr>
          <w:rFonts w:ascii="Times New Roman" w:hAnsi="Times New Roman" w:cs="Times New Roman"/>
          <w:sz w:val="24"/>
          <w:szCs w:val="24"/>
        </w:rPr>
        <w:t xml:space="preserve">its end had </w:t>
      </w:r>
      <w:r w:rsidR="00AD3431">
        <w:rPr>
          <w:rFonts w:ascii="Times New Roman" w:hAnsi="Times New Roman" w:cs="Times New Roman"/>
          <w:sz w:val="24"/>
          <w:szCs w:val="24"/>
        </w:rPr>
        <w:t>an impact th</w:t>
      </w:r>
      <w:r w:rsidR="00544CBA">
        <w:rPr>
          <w:rFonts w:ascii="Times New Roman" w:hAnsi="Times New Roman" w:cs="Times New Roman"/>
          <w:sz w:val="24"/>
          <w:szCs w:val="24"/>
        </w:rPr>
        <w:t>at</w:t>
      </w:r>
      <w:r w:rsidR="00AD3431">
        <w:rPr>
          <w:rFonts w:ascii="Times New Roman" w:hAnsi="Times New Roman" w:cs="Times New Roman"/>
          <w:sz w:val="24"/>
          <w:szCs w:val="24"/>
        </w:rPr>
        <w:t xml:space="preserve"> is more gradual </w:t>
      </w:r>
      <w:r w:rsidR="00BC4E04">
        <w:rPr>
          <w:rFonts w:ascii="Times New Roman" w:hAnsi="Times New Roman" w:cs="Times New Roman"/>
          <w:sz w:val="24"/>
          <w:szCs w:val="24"/>
        </w:rPr>
        <w:t xml:space="preserve">but </w:t>
      </w:r>
      <w:r w:rsidR="00AD3431">
        <w:rPr>
          <w:rFonts w:ascii="Times New Roman" w:hAnsi="Times New Roman" w:cs="Times New Roman"/>
          <w:sz w:val="24"/>
          <w:szCs w:val="24"/>
        </w:rPr>
        <w:t>may have minimized the Khome</w:t>
      </w:r>
      <w:r w:rsidR="00A86788">
        <w:rPr>
          <w:rFonts w:ascii="Times New Roman" w:hAnsi="Times New Roman" w:cs="Times New Roman"/>
          <w:sz w:val="24"/>
          <w:szCs w:val="24"/>
        </w:rPr>
        <w:t>i</w:t>
      </w:r>
      <w:r w:rsidR="00AD3431">
        <w:rPr>
          <w:rFonts w:ascii="Times New Roman" w:hAnsi="Times New Roman" w:cs="Times New Roman"/>
          <w:sz w:val="24"/>
          <w:szCs w:val="24"/>
        </w:rPr>
        <w:t>ni revolution</w:t>
      </w:r>
      <w:r w:rsidR="0027301D">
        <w:rPr>
          <w:rFonts w:ascii="Times New Roman" w:hAnsi="Times New Roman" w:cs="Times New Roman"/>
          <w:sz w:val="24"/>
          <w:szCs w:val="24"/>
        </w:rPr>
        <w:t>’s own impact</w:t>
      </w:r>
      <w:r w:rsidR="00BC4E04">
        <w:rPr>
          <w:rFonts w:ascii="Times New Roman" w:hAnsi="Times New Roman" w:cs="Times New Roman"/>
          <w:sz w:val="24"/>
          <w:szCs w:val="24"/>
        </w:rPr>
        <w:t xml:space="preserve"> </w:t>
      </w:r>
      <w:r w:rsidR="00C76821">
        <w:rPr>
          <w:rFonts w:ascii="Times New Roman" w:hAnsi="Times New Roman" w:cs="Times New Roman"/>
          <w:sz w:val="24"/>
          <w:szCs w:val="24"/>
        </w:rPr>
        <w:t>over</w:t>
      </w:r>
      <w:r w:rsidR="00BC4E04">
        <w:rPr>
          <w:rFonts w:ascii="Times New Roman" w:hAnsi="Times New Roman" w:cs="Times New Roman"/>
          <w:sz w:val="24"/>
          <w:szCs w:val="24"/>
        </w:rPr>
        <w:t xml:space="preserve"> the long</w:t>
      </w:r>
      <w:r w:rsidR="0027301D">
        <w:rPr>
          <w:rFonts w:ascii="Times New Roman" w:hAnsi="Times New Roman" w:cs="Times New Roman"/>
          <w:sz w:val="24"/>
          <w:szCs w:val="24"/>
        </w:rPr>
        <w:t>er-term</w:t>
      </w:r>
      <w:r w:rsidR="00BC4E04">
        <w:rPr>
          <w:rFonts w:ascii="Times New Roman" w:hAnsi="Times New Roman" w:cs="Times New Roman"/>
          <w:sz w:val="24"/>
          <w:szCs w:val="24"/>
        </w:rPr>
        <w:t>.</w:t>
      </w:r>
    </w:p>
    <w:p w14:paraId="367E3FD0" w14:textId="12BAD6CC" w:rsidR="000353C7" w:rsidRDefault="00612116" w:rsidP="000353C7">
      <w:pPr>
        <w:spacing w:line="480" w:lineRule="auto"/>
        <w:rPr>
          <w:rFonts w:ascii="Times New Roman" w:hAnsi="Times New Roman" w:cs="Times New Roman"/>
          <w:sz w:val="24"/>
          <w:szCs w:val="24"/>
        </w:rPr>
      </w:pPr>
      <w:r>
        <w:rPr>
          <w:rFonts w:ascii="Times New Roman" w:hAnsi="Times New Roman" w:cs="Times New Roman"/>
          <w:sz w:val="24"/>
          <w:szCs w:val="24"/>
        </w:rPr>
        <w:tab/>
        <w:t>It is also plausible that political shocks may not result in substantia</w:t>
      </w:r>
      <w:r w:rsidR="000313D8">
        <w:rPr>
          <w:rFonts w:ascii="Times New Roman" w:hAnsi="Times New Roman" w:cs="Times New Roman"/>
          <w:sz w:val="24"/>
          <w:szCs w:val="24"/>
        </w:rPr>
        <w:t>l</w:t>
      </w:r>
      <w:r>
        <w:rPr>
          <w:rFonts w:ascii="Times New Roman" w:hAnsi="Times New Roman" w:cs="Times New Roman"/>
          <w:sz w:val="24"/>
          <w:szCs w:val="24"/>
        </w:rPr>
        <w:t>l</w:t>
      </w:r>
      <w:r w:rsidR="000313D8">
        <w:rPr>
          <w:rFonts w:ascii="Times New Roman" w:hAnsi="Times New Roman" w:cs="Times New Roman"/>
          <w:sz w:val="24"/>
          <w:szCs w:val="24"/>
        </w:rPr>
        <w:t>y</w:t>
      </w:r>
      <w:r>
        <w:rPr>
          <w:rFonts w:ascii="Times New Roman" w:hAnsi="Times New Roman" w:cs="Times New Roman"/>
          <w:sz w:val="24"/>
          <w:szCs w:val="24"/>
        </w:rPr>
        <w:t xml:space="preserve"> greater or fewer rivalries, but instead, function to realign and stabilize rivalry fields. This may be the case with the Khome</w:t>
      </w:r>
      <w:r w:rsidR="00A86788">
        <w:rPr>
          <w:rFonts w:ascii="Times New Roman" w:hAnsi="Times New Roman" w:cs="Times New Roman"/>
          <w:sz w:val="24"/>
          <w:szCs w:val="24"/>
        </w:rPr>
        <w:t>i</w:t>
      </w:r>
      <w:r>
        <w:rPr>
          <w:rFonts w:ascii="Times New Roman" w:hAnsi="Times New Roman" w:cs="Times New Roman"/>
          <w:sz w:val="24"/>
          <w:szCs w:val="24"/>
        </w:rPr>
        <w:t xml:space="preserve">ni revolution in Iran. </w:t>
      </w:r>
      <w:r w:rsidR="000313D8">
        <w:rPr>
          <w:rFonts w:ascii="Times New Roman" w:hAnsi="Times New Roman" w:cs="Times New Roman"/>
          <w:sz w:val="24"/>
          <w:szCs w:val="24"/>
        </w:rPr>
        <w:t xml:space="preserve">It is followed by a significant period of stability in the density field, meaning neither more nor fewer states in the region engage in rivalries after the revolution. However, </w:t>
      </w:r>
      <w:r w:rsidR="00F763B1">
        <w:rPr>
          <w:rFonts w:ascii="Times New Roman" w:hAnsi="Times New Roman" w:cs="Times New Roman"/>
          <w:sz w:val="24"/>
          <w:szCs w:val="24"/>
        </w:rPr>
        <w:t>the content</w:t>
      </w:r>
      <w:r w:rsidR="00A86788">
        <w:rPr>
          <w:rFonts w:ascii="Times New Roman" w:hAnsi="Times New Roman" w:cs="Times New Roman"/>
          <w:sz w:val="24"/>
          <w:szCs w:val="24"/>
        </w:rPr>
        <w:t>s</w:t>
      </w:r>
      <w:r w:rsidR="00F763B1">
        <w:rPr>
          <w:rFonts w:ascii="Times New Roman" w:hAnsi="Times New Roman" w:cs="Times New Roman"/>
          <w:sz w:val="24"/>
          <w:szCs w:val="24"/>
        </w:rPr>
        <w:t xml:space="preserve"> of </w:t>
      </w:r>
      <w:r w:rsidR="000313D8">
        <w:rPr>
          <w:rFonts w:ascii="Times New Roman" w:hAnsi="Times New Roman" w:cs="Times New Roman"/>
          <w:sz w:val="24"/>
          <w:szCs w:val="24"/>
        </w:rPr>
        <w:t xml:space="preserve">many of those rivalries </w:t>
      </w:r>
      <w:r w:rsidR="006E456F">
        <w:rPr>
          <w:rFonts w:ascii="Times New Roman" w:hAnsi="Times New Roman" w:cs="Times New Roman"/>
          <w:sz w:val="24"/>
          <w:szCs w:val="24"/>
        </w:rPr>
        <w:t xml:space="preserve">are altered, </w:t>
      </w:r>
      <w:r w:rsidR="000313D8">
        <w:rPr>
          <w:rFonts w:ascii="Times New Roman" w:hAnsi="Times New Roman" w:cs="Times New Roman"/>
          <w:sz w:val="24"/>
          <w:szCs w:val="24"/>
        </w:rPr>
        <w:t>parallel</w:t>
      </w:r>
      <w:r w:rsidR="006E456F">
        <w:rPr>
          <w:rFonts w:ascii="Times New Roman" w:hAnsi="Times New Roman" w:cs="Times New Roman"/>
          <w:sz w:val="24"/>
          <w:szCs w:val="24"/>
        </w:rPr>
        <w:t>ing</w:t>
      </w:r>
      <w:r w:rsidR="000313D8">
        <w:rPr>
          <w:rFonts w:ascii="Times New Roman" w:hAnsi="Times New Roman" w:cs="Times New Roman"/>
          <w:sz w:val="24"/>
          <w:szCs w:val="24"/>
        </w:rPr>
        <w:t xml:space="preserve"> growing sectarian divisions in the region.</w:t>
      </w:r>
      <w:r w:rsidR="002C59FF">
        <w:rPr>
          <w:rStyle w:val="FootnoteReference"/>
          <w:rFonts w:ascii="Times New Roman" w:hAnsi="Times New Roman" w:cs="Times New Roman"/>
          <w:sz w:val="24"/>
          <w:szCs w:val="24"/>
        </w:rPr>
        <w:footnoteReference w:id="21"/>
      </w:r>
      <w:r w:rsidR="000353C7">
        <w:rPr>
          <w:rFonts w:ascii="Times New Roman" w:hAnsi="Times New Roman" w:cs="Times New Roman"/>
          <w:sz w:val="24"/>
          <w:szCs w:val="24"/>
        </w:rPr>
        <w:t xml:space="preserve"> </w:t>
      </w:r>
    </w:p>
    <w:p w14:paraId="75036F20" w14:textId="0723A45F" w:rsidR="009929FA" w:rsidRDefault="009929FA" w:rsidP="003614A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Until we can systematically assess a fuller sample of both domestic and externally induced shocks in the </w:t>
      </w:r>
      <w:r w:rsidR="001F48C8">
        <w:rPr>
          <w:rFonts w:ascii="Times New Roman" w:hAnsi="Times New Roman" w:cs="Times New Roman"/>
          <w:sz w:val="24"/>
          <w:szCs w:val="24"/>
        </w:rPr>
        <w:t xml:space="preserve">Middle East </w:t>
      </w:r>
      <w:r>
        <w:rPr>
          <w:rFonts w:ascii="Times New Roman" w:hAnsi="Times New Roman" w:cs="Times New Roman"/>
          <w:sz w:val="24"/>
          <w:szCs w:val="24"/>
        </w:rPr>
        <w:t xml:space="preserve">(and elsewhere), much of this discussion can only be speculative. For instance, Figure </w:t>
      </w:r>
      <w:r w:rsidR="001F48C8">
        <w:rPr>
          <w:rFonts w:ascii="Times New Roman" w:hAnsi="Times New Roman" w:cs="Times New Roman"/>
          <w:sz w:val="24"/>
          <w:szCs w:val="24"/>
        </w:rPr>
        <w:t>15</w:t>
      </w:r>
      <w:r>
        <w:rPr>
          <w:rFonts w:ascii="Times New Roman" w:hAnsi="Times New Roman" w:cs="Times New Roman"/>
          <w:sz w:val="24"/>
          <w:szCs w:val="24"/>
        </w:rPr>
        <w:t xml:space="preserve"> identifies only four political shocks, yet there are many other possible candidates</w:t>
      </w:r>
      <w:r w:rsidR="000353C7">
        <w:rPr>
          <w:rFonts w:ascii="Times New Roman" w:hAnsi="Times New Roman" w:cs="Times New Roman"/>
          <w:sz w:val="24"/>
          <w:szCs w:val="24"/>
        </w:rPr>
        <w:t>, as noted in the Thompson chapter</w:t>
      </w:r>
      <w:r>
        <w:rPr>
          <w:rFonts w:ascii="Times New Roman" w:hAnsi="Times New Roman" w:cs="Times New Roman"/>
          <w:sz w:val="24"/>
          <w:szCs w:val="24"/>
        </w:rPr>
        <w:t>. For example, the Camp David agreements, coming shortly before the Khome</w:t>
      </w:r>
      <w:r w:rsidR="00A86788">
        <w:rPr>
          <w:rFonts w:ascii="Times New Roman" w:hAnsi="Times New Roman" w:cs="Times New Roman"/>
          <w:sz w:val="24"/>
          <w:szCs w:val="24"/>
        </w:rPr>
        <w:t>i</w:t>
      </w:r>
      <w:r>
        <w:rPr>
          <w:rFonts w:ascii="Times New Roman" w:hAnsi="Times New Roman" w:cs="Times New Roman"/>
          <w:sz w:val="24"/>
          <w:szCs w:val="24"/>
        </w:rPr>
        <w:t xml:space="preserve">ni revolution may have, in combination with that revolution, produced the stability in the rivalry field. </w:t>
      </w:r>
      <w:r w:rsidR="00B43936">
        <w:rPr>
          <w:rFonts w:ascii="Times New Roman" w:hAnsi="Times New Roman" w:cs="Times New Roman"/>
          <w:sz w:val="24"/>
          <w:szCs w:val="24"/>
        </w:rPr>
        <w:t>Alternatively, the end of the Cold War, a system-wide political shock</w:t>
      </w:r>
      <w:r w:rsidR="00641192">
        <w:rPr>
          <w:rFonts w:ascii="Times New Roman" w:hAnsi="Times New Roman" w:cs="Times New Roman"/>
          <w:sz w:val="24"/>
          <w:szCs w:val="24"/>
        </w:rPr>
        <w:t>, was</w:t>
      </w:r>
      <w:r w:rsidR="00B43936">
        <w:rPr>
          <w:rFonts w:ascii="Times New Roman" w:hAnsi="Times New Roman" w:cs="Times New Roman"/>
          <w:sz w:val="24"/>
          <w:szCs w:val="24"/>
        </w:rPr>
        <w:t xml:space="preserve"> followed by another: the </w:t>
      </w:r>
      <w:r w:rsidR="00641192">
        <w:rPr>
          <w:rFonts w:ascii="Times New Roman" w:hAnsi="Times New Roman" w:cs="Times New Roman"/>
          <w:sz w:val="24"/>
          <w:szCs w:val="24"/>
        </w:rPr>
        <w:t xml:space="preserve">Iraqi </w:t>
      </w:r>
      <w:r w:rsidR="00B43936">
        <w:rPr>
          <w:rFonts w:ascii="Times New Roman" w:hAnsi="Times New Roman" w:cs="Times New Roman"/>
          <w:sz w:val="24"/>
          <w:szCs w:val="24"/>
        </w:rPr>
        <w:t xml:space="preserve">invasion of Kuwait and the first </w:t>
      </w:r>
      <w:r w:rsidR="000353C7">
        <w:rPr>
          <w:rFonts w:ascii="Times New Roman" w:hAnsi="Times New Roman" w:cs="Times New Roman"/>
          <w:sz w:val="24"/>
          <w:szCs w:val="24"/>
        </w:rPr>
        <w:t xml:space="preserve">U.S. led </w:t>
      </w:r>
      <w:r w:rsidR="00B43936">
        <w:rPr>
          <w:rFonts w:ascii="Times New Roman" w:hAnsi="Times New Roman" w:cs="Times New Roman"/>
          <w:sz w:val="24"/>
          <w:szCs w:val="24"/>
        </w:rPr>
        <w:t xml:space="preserve">Persian Gulf war. </w:t>
      </w:r>
      <w:r w:rsidR="00641192">
        <w:rPr>
          <w:rFonts w:ascii="Times New Roman" w:hAnsi="Times New Roman" w:cs="Times New Roman"/>
          <w:sz w:val="24"/>
          <w:szCs w:val="24"/>
        </w:rPr>
        <w:t xml:space="preserve">Was it the end of the Cold War or the Persian Gulf War that led to a gradual reduction in the density of the rivalry field that can be observed during the 1990s in Figure </w:t>
      </w:r>
      <w:r w:rsidR="001F48C8">
        <w:rPr>
          <w:rFonts w:ascii="Times New Roman" w:hAnsi="Times New Roman" w:cs="Times New Roman"/>
          <w:sz w:val="24"/>
          <w:szCs w:val="24"/>
        </w:rPr>
        <w:t>15</w:t>
      </w:r>
      <w:r w:rsidR="00641192">
        <w:rPr>
          <w:rFonts w:ascii="Times New Roman" w:hAnsi="Times New Roman" w:cs="Times New Roman"/>
          <w:sz w:val="24"/>
          <w:szCs w:val="24"/>
        </w:rPr>
        <w:t xml:space="preserve">? </w:t>
      </w:r>
      <w:r w:rsidR="00A629F9">
        <w:rPr>
          <w:rFonts w:ascii="Times New Roman" w:hAnsi="Times New Roman" w:cs="Times New Roman"/>
          <w:sz w:val="24"/>
          <w:szCs w:val="24"/>
        </w:rPr>
        <w:t>We do</w:t>
      </w:r>
      <w:r w:rsidR="000353C7">
        <w:rPr>
          <w:rFonts w:ascii="Times New Roman" w:hAnsi="Times New Roman" w:cs="Times New Roman"/>
          <w:sz w:val="24"/>
          <w:szCs w:val="24"/>
        </w:rPr>
        <w:t xml:space="preserve"> not</w:t>
      </w:r>
      <w:r w:rsidR="00A629F9">
        <w:rPr>
          <w:rFonts w:ascii="Times New Roman" w:hAnsi="Times New Roman" w:cs="Times New Roman"/>
          <w:sz w:val="24"/>
          <w:szCs w:val="24"/>
        </w:rPr>
        <w:t xml:space="preserve"> have a sufficient number of observations to ar</w:t>
      </w:r>
      <w:r w:rsidR="00E6073A">
        <w:rPr>
          <w:rFonts w:ascii="Times New Roman" w:hAnsi="Times New Roman" w:cs="Times New Roman"/>
          <w:sz w:val="24"/>
          <w:szCs w:val="24"/>
        </w:rPr>
        <w:t>rive at a systematic assessment, but it is likely that these shocks can range from being mutually reinforcing to possibly annulling one another.</w:t>
      </w:r>
      <w:r w:rsidR="000353C7">
        <w:rPr>
          <w:rFonts w:ascii="Times New Roman" w:hAnsi="Times New Roman" w:cs="Times New Roman"/>
          <w:sz w:val="24"/>
          <w:szCs w:val="24"/>
        </w:rPr>
        <w:t xml:space="preserve"> And whether these patterns are unique to the Middle East </w:t>
      </w:r>
      <w:r w:rsidR="00991C58">
        <w:rPr>
          <w:rFonts w:ascii="Times New Roman" w:hAnsi="Times New Roman" w:cs="Times New Roman"/>
          <w:sz w:val="24"/>
          <w:szCs w:val="24"/>
        </w:rPr>
        <w:t xml:space="preserve">requires additional comparative </w:t>
      </w:r>
      <w:r w:rsidR="007E5134">
        <w:rPr>
          <w:rFonts w:ascii="Times New Roman" w:hAnsi="Times New Roman" w:cs="Times New Roman"/>
          <w:sz w:val="24"/>
          <w:szCs w:val="24"/>
        </w:rPr>
        <w:t xml:space="preserve">regional </w:t>
      </w:r>
      <w:r w:rsidR="00991C58">
        <w:rPr>
          <w:rFonts w:ascii="Times New Roman" w:hAnsi="Times New Roman" w:cs="Times New Roman"/>
          <w:sz w:val="24"/>
          <w:szCs w:val="24"/>
        </w:rPr>
        <w:t>analysis.</w:t>
      </w:r>
    </w:p>
    <w:p w14:paraId="26F53FAC" w14:textId="65781672" w:rsidR="00E6073A" w:rsidRPr="00E6073A" w:rsidRDefault="00E6073A" w:rsidP="005464E8">
      <w:pPr>
        <w:spacing w:line="480" w:lineRule="auto"/>
        <w:outlineLvl w:val="0"/>
        <w:rPr>
          <w:rFonts w:ascii="Times New Roman" w:hAnsi="Times New Roman" w:cs="Times New Roman"/>
          <w:b/>
          <w:sz w:val="24"/>
          <w:szCs w:val="24"/>
        </w:rPr>
      </w:pPr>
      <w:r w:rsidRPr="00E6073A">
        <w:rPr>
          <w:rFonts w:ascii="Times New Roman" w:hAnsi="Times New Roman" w:cs="Times New Roman"/>
          <w:b/>
          <w:sz w:val="24"/>
          <w:szCs w:val="24"/>
        </w:rPr>
        <w:t>Conclusion</w:t>
      </w:r>
    </w:p>
    <w:p w14:paraId="4B020F33" w14:textId="43BC58FF" w:rsidR="00E6073A" w:rsidRDefault="00E6073A" w:rsidP="003614AD">
      <w:pPr>
        <w:spacing w:line="480" w:lineRule="auto"/>
        <w:rPr>
          <w:rFonts w:ascii="Times New Roman" w:hAnsi="Times New Roman" w:cs="Times New Roman"/>
          <w:sz w:val="24"/>
          <w:szCs w:val="24"/>
        </w:rPr>
      </w:pPr>
      <w:r>
        <w:rPr>
          <w:rFonts w:ascii="Times New Roman" w:hAnsi="Times New Roman" w:cs="Times New Roman"/>
          <w:sz w:val="24"/>
          <w:szCs w:val="24"/>
        </w:rPr>
        <w:tab/>
      </w:r>
      <w:r w:rsidR="00C672DA">
        <w:rPr>
          <w:rFonts w:ascii="Times New Roman" w:hAnsi="Times New Roman" w:cs="Times New Roman"/>
          <w:sz w:val="24"/>
          <w:szCs w:val="24"/>
        </w:rPr>
        <w:t xml:space="preserve">It is clear, even from a comparative regional perspective, that the Middle East is unique </w:t>
      </w:r>
      <w:r w:rsidR="003E49E1">
        <w:rPr>
          <w:rFonts w:ascii="Times New Roman" w:hAnsi="Times New Roman" w:cs="Times New Roman"/>
          <w:sz w:val="24"/>
          <w:szCs w:val="24"/>
        </w:rPr>
        <w:t>among the various region</w:t>
      </w:r>
      <w:r w:rsidR="002E030C">
        <w:rPr>
          <w:rFonts w:ascii="Times New Roman" w:hAnsi="Times New Roman" w:cs="Times New Roman"/>
          <w:sz w:val="24"/>
          <w:szCs w:val="24"/>
        </w:rPr>
        <w:t>s</w:t>
      </w:r>
      <w:r w:rsidR="003E49E1">
        <w:rPr>
          <w:rFonts w:ascii="Times New Roman" w:hAnsi="Times New Roman" w:cs="Times New Roman"/>
          <w:sz w:val="24"/>
          <w:szCs w:val="24"/>
        </w:rPr>
        <w:t xml:space="preserve"> </w:t>
      </w:r>
      <w:r w:rsidR="00B57A2D">
        <w:rPr>
          <w:rFonts w:ascii="Times New Roman" w:hAnsi="Times New Roman" w:cs="Times New Roman"/>
          <w:sz w:val="24"/>
          <w:szCs w:val="24"/>
        </w:rPr>
        <w:t>in</w:t>
      </w:r>
      <w:r w:rsidR="003E49E1">
        <w:rPr>
          <w:rFonts w:ascii="Times New Roman" w:hAnsi="Times New Roman" w:cs="Times New Roman"/>
          <w:sz w:val="24"/>
          <w:szCs w:val="24"/>
        </w:rPr>
        <w:t xml:space="preserve"> </w:t>
      </w:r>
      <w:r w:rsidR="00C672DA">
        <w:rPr>
          <w:rFonts w:ascii="Times New Roman" w:hAnsi="Times New Roman" w:cs="Times New Roman"/>
          <w:sz w:val="24"/>
          <w:szCs w:val="24"/>
        </w:rPr>
        <w:t>international politic</w:t>
      </w:r>
      <w:r w:rsidR="003E49E1">
        <w:rPr>
          <w:rFonts w:ascii="Times New Roman" w:hAnsi="Times New Roman" w:cs="Times New Roman"/>
          <w:sz w:val="24"/>
          <w:szCs w:val="24"/>
        </w:rPr>
        <w:t>s</w:t>
      </w:r>
      <w:r w:rsidR="00C672DA">
        <w:rPr>
          <w:rFonts w:ascii="Times New Roman" w:hAnsi="Times New Roman" w:cs="Times New Roman"/>
          <w:sz w:val="24"/>
          <w:szCs w:val="24"/>
        </w:rPr>
        <w:t xml:space="preserve">. </w:t>
      </w:r>
      <w:r w:rsidR="00B57A2D">
        <w:rPr>
          <w:rFonts w:ascii="Times New Roman" w:hAnsi="Times New Roman" w:cs="Times New Roman"/>
          <w:sz w:val="24"/>
          <w:szCs w:val="24"/>
        </w:rPr>
        <w:t>The Middle East</w:t>
      </w:r>
      <w:r w:rsidR="002E030C">
        <w:rPr>
          <w:rFonts w:ascii="Times New Roman" w:hAnsi="Times New Roman" w:cs="Times New Roman"/>
          <w:sz w:val="24"/>
          <w:szCs w:val="24"/>
        </w:rPr>
        <w:t xml:space="preserve"> ranks high on fault lines, low on pacifying conditions, lacks a hierarchical order, and has demonstrated substantial permeability to both global forces and intrusion from external powers. Its uniqueness is </w:t>
      </w:r>
      <w:r w:rsidR="00A075D0">
        <w:rPr>
          <w:rFonts w:ascii="Times New Roman" w:hAnsi="Times New Roman" w:cs="Times New Roman"/>
          <w:sz w:val="24"/>
          <w:szCs w:val="24"/>
        </w:rPr>
        <w:t>especially underscored</w:t>
      </w:r>
      <w:r w:rsidR="002E030C">
        <w:rPr>
          <w:rFonts w:ascii="Times New Roman" w:hAnsi="Times New Roman" w:cs="Times New Roman"/>
          <w:sz w:val="24"/>
          <w:szCs w:val="24"/>
        </w:rPr>
        <w:t xml:space="preserve"> by </w:t>
      </w:r>
      <w:r w:rsidR="00A86788">
        <w:rPr>
          <w:rFonts w:ascii="Times New Roman" w:hAnsi="Times New Roman" w:cs="Times New Roman"/>
          <w:sz w:val="24"/>
          <w:szCs w:val="24"/>
        </w:rPr>
        <w:t xml:space="preserve">both </w:t>
      </w:r>
      <w:r w:rsidR="002E030C">
        <w:rPr>
          <w:rFonts w:ascii="Times New Roman" w:hAnsi="Times New Roman" w:cs="Times New Roman"/>
          <w:sz w:val="24"/>
          <w:szCs w:val="24"/>
        </w:rPr>
        <w:t xml:space="preserve">the unusual </w:t>
      </w:r>
      <w:r w:rsidR="00A075D0">
        <w:rPr>
          <w:rFonts w:ascii="Times New Roman" w:hAnsi="Times New Roman" w:cs="Times New Roman"/>
          <w:sz w:val="24"/>
          <w:szCs w:val="24"/>
        </w:rPr>
        <w:t>number</w:t>
      </w:r>
      <w:r w:rsidR="002E030C">
        <w:rPr>
          <w:rFonts w:ascii="Times New Roman" w:hAnsi="Times New Roman" w:cs="Times New Roman"/>
          <w:sz w:val="24"/>
          <w:szCs w:val="24"/>
        </w:rPr>
        <w:t xml:space="preserve"> of inter-state rivalries in the region and a truly unique pattern of an extremely dense rivalry field that has at times involved nearly all state members. No wonder then that it is also, at least since the end of the second world war, the most conflictual of all regions.</w:t>
      </w:r>
      <w:r w:rsidR="00D05A08">
        <w:rPr>
          <w:rFonts w:ascii="Times New Roman" w:hAnsi="Times New Roman" w:cs="Times New Roman"/>
          <w:sz w:val="24"/>
          <w:szCs w:val="24"/>
        </w:rPr>
        <w:t xml:space="preserve"> </w:t>
      </w:r>
    </w:p>
    <w:p w14:paraId="4CCB0A98" w14:textId="2556AF61" w:rsidR="00991C58" w:rsidRDefault="00A075D0" w:rsidP="00991C5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991C58">
        <w:rPr>
          <w:rFonts w:ascii="Times New Roman" w:hAnsi="Times New Roman" w:cs="Times New Roman"/>
          <w:sz w:val="24"/>
          <w:szCs w:val="24"/>
        </w:rPr>
        <w:t>Not much is static in international relations and neither are regional dynamics. While it is clear that rivalries have dominated international politics in the Middle East, three trends have emerged to suggest the relationship between rivalry and conflict may be waning.</w:t>
      </w:r>
      <w:r w:rsidR="005464E8">
        <w:rPr>
          <w:rFonts w:ascii="Times New Roman" w:hAnsi="Times New Roman" w:cs="Times New Roman"/>
          <w:sz w:val="24"/>
          <w:szCs w:val="24"/>
        </w:rPr>
        <w:t xml:space="preserve"> </w:t>
      </w:r>
      <w:r w:rsidR="00991C58">
        <w:rPr>
          <w:rFonts w:ascii="Times New Roman" w:hAnsi="Times New Roman" w:cs="Times New Roman"/>
          <w:sz w:val="24"/>
          <w:szCs w:val="24"/>
        </w:rPr>
        <w:t>First, the density of the Middle East rivalry field, especially over the last decade, has substantially diminished.</w:t>
      </w:r>
      <w:r w:rsidR="005464E8">
        <w:rPr>
          <w:rFonts w:ascii="Times New Roman" w:hAnsi="Times New Roman" w:cs="Times New Roman"/>
          <w:sz w:val="24"/>
          <w:szCs w:val="24"/>
        </w:rPr>
        <w:t xml:space="preserve"> </w:t>
      </w:r>
      <w:r w:rsidR="00991C58">
        <w:rPr>
          <w:rFonts w:ascii="Times New Roman" w:hAnsi="Times New Roman" w:cs="Times New Roman"/>
          <w:sz w:val="24"/>
          <w:szCs w:val="24"/>
        </w:rPr>
        <w:t>Second, the share of regional conflicts that appear to be directly attributable to regional states in rivalry has also diminished.</w:t>
      </w:r>
      <w:r w:rsidR="005464E8">
        <w:rPr>
          <w:rFonts w:ascii="Times New Roman" w:hAnsi="Times New Roman" w:cs="Times New Roman"/>
          <w:sz w:val="24"/>
          <w:szCs w:val="24"/>
        </w:rPr>
        <w:t xml:space="preserve"> </w:t>
      </w:r>
      <w:r w:rsidR="00991C58">
        <w:rPr>
          <w:rFonts w:ascii="Times New Roman" w:hAnsi="Times New Roman" w:cs="Times New Roman"/>
          <w:sz w:val="24"/>
          <w:szCs w:val="24"/>
        </w:rPr>
        <w:t>Third, the overall level of state-to-state regional conflict as measured by</w:t>
      </w:r>
      <w:r w:rsidR="005D5D6E">
        <w:rPr>
          <w:rFonts w:ascii="Times New Roman" w:hAnsi="Times New Roman" w:cs="Times New Roman"/>
          <w:sz w:val="24"/>
          <w:szCs w:val="24"/>
        </w:rPr>
        <w:t xml:space="preserve"> severe</w:t>
      </w:r>
      <w:r w:rsidR="00991C58">
        <w:rPr>
          <w:rFonts w:ascii="Times New Roman" w:hAnsi="Times New Roman" w:cs="Times New Roman"/>
          <w:sz w:val="24"/>
          <w:szCs w:val="24"/>
        </w:rPr>
        <w:t xml:space="preserve"> </w:t>
      </w:r>
      <w:r w:rsidR="005D5D6E">
        <w:rPr>
          <w:rFonts w:ascii="Times New Roman" w:hAnsi="Times New Roman" w:cs="Times New Roman"/>
          <w:sz w:val="24"/>
          <w:szCs w:val="24"/>
        </w:rPr>
        <w:t>MIDs</w:t>
      </w:r>
      <w:r w:rsidR="00991C58">
        <w:rPr>
          <w:rFonts w:ascii="Times New Roman" w:hAnsi="Times New Roman" w:cs="Times New Roman"/>
          <w:sz w:val="24"/>
          <w:szCs w:val="24"/>
        </w:rPr>
        <w:t xml:space="preserve"> has declined.</w:t>
      </w:r>
    </w:p>
    <w:p w14:paraId="414817A4" w14:textId="7B503C04" w:rsidR="00A075D0" w:rsidRDefault="00A075D0" w:rsidP="00C76821">
      <w:pPr>
        <w:spacing w:line="480" w:lineRule="auto"/>
        <w:ind w:firstLine="720"/>
        <w:rPr>
          <w:rFonts w:ascii="Times New Roman" w:hAnsi="Times New Roman" w:cs="Times New Roman"/>
          <w:sz w:val="24"/>
          <w:szCs w:val="24"/>
        </w:rPr>
      </w:pPr>
      <w:r>
        <w:rPr>
          <w:rFonts w:ascii="Times New Roman" w:hAnsi="Times New Roman" w:cs="Times New Roman"/>
          <w:sz w:val="24"/>
          <w:szCs w:val="24"/>
        </w:rPr>
        <w:t>Th</w:t>
      </w:r>
      <w:r w:rsidR="00991C58">
        <w:rPr>
          <w:rFonts w:ascii="Times New Roman" w:hAnsi="Times New Roman" w:cs="Times New Roman"/>
          <w:sz w:val="24"/>
          <w:szCs w:val="24"/>
        </w:rPr>
        <w:t>ese trends</w:t>
      </w:r>
      <w:r>
        <w:rPr>
          <w:rFonts w:ascii="Times New Roman" w:hAnsi="Times New Roman" w:cs="Times New Roman"/>
          <w:sz w:val="24"/>
          <w:szCs w:val="24"/>
        </w:rPr>
        <w:t xml:space="preserve"> suggest to us t</w:t>
      </w:r>
      <w:r w:rsidR="00991C58">
        <w:rPr>
          <w:rFonts w:ascii="Times New Roman" w:hAnsi="Times New Roman" w:cs="Times New Roman"/>
          <w:sz w:val="24"/>
          <w:szCs w:val="24"/>
        </w:rPr>
        <w:t>hree</w:t>
      </w:r>
      <w:r>
        <w:rPr>
          <w:rFonts w:ascii="Times New Roman" w:hAnsi="Times New Roman" w:cs="Times New Roman"/>
          <w:sz w:val="24"/>
          <w:szCs w:val="24"/>
        </w:rPr>
        <w:t xml:space="preserve"> salient issues about the conflicts in the regions. First, the political dimensions over which many of the rivalries are playing out have changed, from an earlier period</w:t>
      </w:r>
      <w:r w:rsidR="00BC4E04">
        <w:rPr>
          <w:rFonts w:ascii="Times New Roman" w:hAnsi="Times New Roman" w:cs="Times New Roman"/>
          <w:sz w:val="24"/>
          <w:szCs w:val="24"/>
        </w:rPr>
        <w:t xml:space="preserve"> that was</w:t>
      </w:r>
      <w:r>
        <w:rPr>
          <w:rFonts w:ascii="Times New Roman" w:hAnsi="Times New Roman" w:cs="Times New Roman"/>
          <w:sz w:val="24"/>
          <w:szCs w:val="24"/>
        </w:rPr>
        <w:t xml:space="preserve"> driven by radical versus traditional regimes and the Arab-Israeli conflict, to the latter period where these dimensions appear to be becoming secondary to conflicts between Shia</w:t>
      </w:r>
      <w:r w:rsidR="004B4011">
        <w:rPr>
          <w:rFonts w:ascii="Times New Roman" w:hAnsi="Times New Roman" w:cs="Times New Roman"/>
          <w:sz w:val="24"/>
          <w:szCs w:val="24"/>
        </w:rPr>
        <w:t>-</w:t>
      </w:r>
      <w:r>
        <w:rPr>
          <w:rFonts w:ascii="Times New Roman" w:hAnsi="Times New Roman" w:cs="Times New Roman"/>
          <w:sz w:val="24"/>
          <w:szCs w:val="24"/>
        </w:rPr>
        <w:t xml:space="preserve"> and Sunni</w:t>
      </w:r>
      <w:r w:rsidR="004B4011">
        <w:rPr>
          <w:rFonts w:ascii="Times New Roman" w:hAnsi="Times New Roman" w:cs="Times New Roman"/>
          <w:sz w:val="24"/>
          <w:szCs w:val="24"/>
        </w:rPr>
        <w:t>-</w:t>
      </w:r>
      <w:r>
        <w:rPr>
          <w:rFonts w:ascii="Times New Roman" w:hAnsi="Times New Roman" w:cs="Times New Roman"/>
          <w:sz w:val="24"/>
          <w:szCs w:val="24"/>
        </w:rPr>
        <w:t xml:space="preserve">based regimes. </w:t>
      </w:r>
      <w:r w:rsidR="007D0B39">
        <w:rPr>
          <w:rFonts w:ascii="Times New Roman" w:hAnsi="Times New Roman" w:cs="Times New Roman"/>
          <w:sz w:val="24"/>
          <w:szCs w:val="24"/>
        </w:rPr>
        <w:t>In turn, such sectarian differences may simply underscore a longer</w:t>
      </w:r>
      <w:r w:rsidR="00E4373B">
        <w:rPr>
          <w:rFonts w:ascii="Times New Roman" w:hAnsi="Times New Roman" w:cs="Times New Roman"/>
          <w:sz w:val="24"/>
          <w:szCs w:val="24"/>
        </w:rPr>
        <w:t>-</w:t>
      </w:r>
      <w:r w:rsidR="007D0B39">
        <w:rPr>
          <w:rFonts w:ascii="Times New Roman" w:hAnsi="Times New Roman" w:cs="Times New Roman"/>
          <w:sz w:val="24"/>
          <w:szCs w:val="24"/>
        </w:rPr>
        <w:t xml:space="preserve">term phenomenon of (changing) regional aspirants struggling for </w:t>
      </w:r>
      <w:r w:rsidR="00E4373B">
        <w:rPr>
          <w:rFonts w:ascii="Times New Roman" w:hAnsi="Times New Roman" w:cs="Times New Roman"/>
          <w:sz w:val="24"/>
          <w:szCs w:val="24"/>
        </w:rPr>
        <w:t xml:space="preserve">regional </w:t>
      </w:r>
      <w:r w:rsidR="007D0B39">
        <w:rPr>
          <w:rFonts w:ascii="Times New Roman" w:hAnsi="Times New Roman" w:cs="Times New Roman"/>
          <w:sz w:val="24"/>
          <w:szCs w:val="24"/>
        </w:rPr>
        <w:t xml:space="preserve">leadership </w:t>
      </w:r>
      <w:r w:rsidR="00A31F56">
        <w:rPr>
          <w:rFonts w:ascii="Times New Roman" w:hAnsi="Times New Roman" w:cs="Times New Roman"/>
          <w:sz w:val="24"/>
          <w:szCs w:val="24"/>
        </w:rPr>
        <w:t>in the absence of a dominant power</w:t>
      </w:r>
      <w:r w:rsidR="00E4373B">
        <w:rPr>
          <w:rFonts w:ascii="Times New Roman" w:hAnsi="Times New Roman" w:cs="Times New Roman"/>
          <w:sz w:val="24"/>
          <w:szCs w:val="24"/>
        </w:rPr>
        <w:t>. T</w:t>
      </w:r>
      <w:r w:rsidR="007D0B39">
        <w:rPr>
          <w:rFonts w:ascii="Times New Roman" w:hAnsi="Times New Roman" w:cs="Times New Roman"/>
          <w:sz w:val="24"/>
          <w:szCs w:val="24"/>
        </w:rPr>
        <w:t xml:space="preserve">he Saudi-Iranian </w:t>
      </w:r>
      <w:r w:rsidR="00E4373B">
        <w:rPr>
          <w:rFonts w:ascii="Times New Roman" w:hAnsi="Times New Roman" w:cs="Times New Roman"/>
          <w:sz w:val="24"/>
          <w:szCs w:val="24"/>
        </w:rPr>
        <w:t>proxy-</w:t>
      </w:r>
      <w:r w:rsidR="007D0B39">
        <w:rPr>
          <w:rFonts w:ascii="Times New Roman" w:hAnsi="Times New Roman" w:cs="Times New Roman"/>
          <w:sz w:val="24"/>
          <w:szCs w:val="24"/>
        </w:rPr>
        <w:t>conflict</w:t>
      </w:r>
      <w:r w:rsidR="00E4373B">
        <w:rPr>
          <w:rFonts w:ascii="Times New Roman" w:hAnsi="Times New Roman" w:cs="Times New Roman"/>
          <w:sz w:val="24"/>
          <w:szCs w:val="24"/>
        </w:rPr>
        <w:t xml:space="preserve"> in Yemen may</w:t>
      </w:r>
      <w:r w:rsidR="007D0B39">
        <w:rPr>
          <w:rFonts w:ascii="Times New Roman" w:hAnsi="Times New Roman" w:cs="Times New Roman"/>
          <w:sz w:val="24"/>
          <w:szCs w:val="24"/>
        </w:rPr>
        <w:t xml:space="preserve"> reflect the latest round of such struggles.</w:t>
      </w:r>
    </w:p>
    <w:p w14:paraId="7082EA72" w14:textId="00FB4726" w:rsidR="00A31F56" w:rsidRDefault="00A31F56" w:rsidP="003614AD">
      <w:pPr>
        <w:spacing w:line="480" w:lineRule="auto"/>
        <w:rPr>
          <w:rFonts w:ascii="Times New Roman" w:hAnsi="Times New Roman" w:cs="Times New Roman"/>
          <w:sz w:val="24"/>
          <w:szCs w:val="24"/>
        </w:rPr>
      </w:pPr>
      <w:r>
        <w:rPr>
          <w:rFonts w:ascii="Times New Roman" w:hAnsi="Times New Roman" w:cs="Times New Roman"/>
          <w:sz w:val="24"/>
          <w:szCs w:val="24"/>
        </w:rPr>
        <w:tab/>
        <w:t>Second, the reduced density in the rivalry field suggests</w:t>
      </w:r>
      <w:r w:rsidR="008A74B2">
        <w:rPr>
          <w:rFonts w:ascii="Times New Roman" w:hAnsi="Times New Roman" w:cs="Times New Roman"/>
          <w:sz w:val="24"/>
          <w:szCs w:val="24"/>
        </w:rPr>
        <w:t xml:space="preserve"> that </w:t>
      </w:r>
      <w:r>
        <w:rPr>
          <w:rFonts w:ascii="Times New Roman" w:hAnsi="Times New Roman" w:cs="Times New Roman"/>
          <w:sz w:val="24"/>
          <w:szCs w:val="24"/>
        </w:rPr>
        <w:t xml:space="preserve">the Middle East is </w:t>
      </w:r>
      <w:r w:rsidR="00396F16">
        <w:rPr>
          <w:rFonts w:ascii="Times New Roman" w:hAnsi="Times New Roman" w:cs="Times New Roman"/>
          <w:sz w:val="24"/>
          <w:szCs w:val="24"/>
        </w:rPr>
        <w:t xml:space="preserve">possibly </w:t>
      </w:r>
      <w:r>
        <w:rPr>
          <w:rFonts w:ascii="Times New Roman" w:hAnsi="Times New Roman" w:cs="Times New Roman"/>
          <w:sz w:val="24"/>
          <w:szCs w:val="24"/>
        </w:rPr>
        <w:t>becoming “more normal” compared to other regions</w:t>
      </w:r>
      <w:r w:rsidR="003A5998">
        <w:rPr>
          <w:rFonts w:ascii="Times New Roman" w:hAnsi="Times New Roman" w:cs="Times New Roman"/>
          <w:sz w:val="24"/>
          <w:szCs w:val="24"/>
        </w:rPr>
        <w:t>—</w:t>
      </w:r>
      <w:r>
        <w:rPr>
          <w:rFonts w:ascii="Times New Roman" w:hAnsi="Times New Roman" w:cs="Times New Roman"/>
          <w:sz w:val="24"/>
          <w:szCs w:val="24"/>
        </w:rPr>
        <w:t xml:space="preserve">especially if “normalcy” means </w:t>
      </w:r>
      <w:r w:rsidR="00FF705D">
        <w:rPr>
          <w:rFonts w:ascii="Times New Roman" w:hAnsi="Times New Roman" w:cs="Times New Roman"/>
          <w:sz w:val="24"/>
          <w:szCs w:val="24"/>
        </w:rPr>
        <w:t xml:space="preserve">that </w:t>
      </w:r>
      <w:r>
        <w:rPr>
          <w:rFonts w:ascii="Times New Roman" w:hAnsi="Times New Roman" w:cs="Times New Roman"/>
          <w:sz w:val="24"/>
          <w:szCs w:val="24"/>
        </w:rPr>
        <w:t>th</w:t>
      </w:r>
      <w:r w:rsidR="003A5998">
        <w:rPr>
          <w:rFonts w:ascii="Times New Roman" w:hAnsi="Times New Roman" w:cs="Times New Roman"/>
          <w:sz w:val="24"/>
          <w:szCs w:val="24"/>
        </w:rPr>
        <w:t>e Middle East</w:t>
      </w:r>
      <w:r>
        <w:rPr>
          <w:rFonts w:ascii="Times New Roman" w:hAnsi="Times New Roman" w:cs="Times New Roman"/>
          <w:sz w:val="24"/>
          <w:szCs w:val="24"/>
        </w:rPr>
        <w:t xml:space="preserve"> becomes comparable to regions lacking a hierarchy </w:t>
      </w:r>
      <w:r w:rsidR="00623F66">
        <w:rPr>
          <w:rFonts w:ascii="Times New Roman" w:hAnsi="Times New Roman" w:cs="Times New Roman"/>
          <w:sz w:val="24"/>
          <w:szCs w:val="24"/>
        </w:rPr>
        <w:t xml:space="preserve">and </w:t>
      </w:r>
      <w:r>
        <w:rPr>
          <w:rFonts w:ascii="Times New Roman" w:hAnsi="Times New Roman" w:cs="Times New Roman"/>
          <w:sz w:val="24"/>
          <w:szCs w:val="24"/>
        </w:rPr>
        <w:t xml:space="preserve">with substantial fault lines. </w:t>
      </w:r>
      <w:r w:rsidR="00E524F5">
        <w:rPr>
          <w:rFonts w:ascii="Times New Roman" w:hAnsi="Times New Roman" w:cs="Times New Roman"/>
          <w:sz w:val="24"/>
          <w:szCs w:val="24"/>
        </w:rPr>
        <w:t>Of course</w:t>
      </w:r>
      <w:r w:rsidR="003A5998">
        <w:rPr>
          <w:rFonts w:ascii="Times New Roman" w:hAnsi="Times New Roman" w:cs="Times New Roman"/>
          <w:sz w:val="24"/>
          <w:szCs w:val="24"/>
        </w:rPr>
        <w:t>,</w:t>
      </w:r>
      <w:r w:rsidR="00E524F5">
        <w:rPr>
          <w:rFonts w:ascii="Times New Roman" w:hAnsi="Times New Roman" w:cs="Times New Roman"/>
          <w:sz w:val="24"/>
          <w:szCs w:val="24"/>
        </w:rPr>
        <w:t xml:space="preserve"> such a </w:t>
      </w:r>
      <w:r>
        <w:rPr>
          <w:rFonts w:ascii="Times New Roman" w:hAnsi="Times New Roman" w:cs="Times New Roman"/>
          <w:sz w:val="24"/>
          <w:szCs w:val="24"/>
        </w:rPr>
        <w:t xml:space="preserve">return to “normalcy” would </w:t>
      </w:r>
      <w:r w:rsidR="00E524F5">
        <w:rPr>
          <w:rFonts w:ascii="Times New Roman" w:hAnsi="Times New Roman" w:cs="Times New Roman"/>
          <w:sz w:val="24"/>
          <w:szCs w:val="24"/>
        </w:rPr>
        <w:t xml:space="preserve">not </w:t>
      </w:r>
      <w:r>
        <w:rPr>
          <w:rFonts w:ascii="Times New Roman" w:hAnsi="Times New Roman" w:cs="Times New Roman"/>
          <w:sz w:val="24"/>
          <w:szCs w:val="24"/>
        </w:rPr>
        <w:t xml:space="preserve">indicate </w:t>
      </w:r>
      <w:r w:rsidR="008A74B2">
        <w:rPr>
          <w:rFonts w:ascii="Times New Roman" w:hAnsi="Times New Roman" w:cs="Times New Roman"/>
          <w:sz w:val="24"/>
          <w:szCs w:val="24"/>
        </w:rPr>
        <w:t xml:space="preserve">that </w:t>
      </w:r>
      <w:r>
        <w:rPr>
          <w:rFonts w:ascii="Times New Roman" w:hAnsi="Times New Roman" w:cs="Times New Roman"/>
          <w:sz w:val="24"/>
          <w:szCs w:val="24"/>
        </w:rPr>
        <w:t xml:space="preserve">the region is becoming substantially more </w:t>
      </w:r>
      <w:r w:rsidR="00623F66">
        <w:rPr>
          <w:rFonts w:ascii="Times New Roman" w:hAnsi="Times New Roman" w:cs="Times New Roman"/>
          <w:sz w:val="24"/>
          <w:szCs w:val="24"/>
        </w:rPr>
        <w:t xml:space="preserve">peaceful </w:t>
      </w:r>
      <w:r>
        <w:rPr>
          <w:rFonts w:ascii="Times New Roman" w:hAnsi="Times New Roman" w:cs="Times New Roman"/>
          <w:sz w:val="24"/>
          <w:szCs w:val="24"/>
        </w:rPr>
        <w:t xml:space="preserve">but only that considerations other than rivalries are </w:t>
      </w:r>
      <w:r w:rsidR="003A5998">
        <w:rPr>
          <w:rFonts w:ascii="Times New Roman" w:hAnsi="Times New Roman" w:cs="Times New Roman"/>
          <w:sz w:val="24"/>
          <w:szCs w:val="24"/>
        </w:rPr>
        <w:t>becoming</w:t>
      </w:r>
      <w:r>
        <w:rPr>
          <w:rFonts w:ascii="Times New Roman" w:hAnsi="Times New Roman" w:cs="Times New Roman"/>
          <w:sz w:val="24"/>
          <w:szCs w:val="24"/>
        </w:rPr>
        <w:t xml:space="preserve"> more salient in determining the level of regional conflict. As we noted earlier, the percentage of </w:t>
      </w:r>
      <w:r>
        <w:rPr>
          <w:rFonts w:ascii="Times New Roman" w:hAnsi="Times New Roman" w:cs="Times New Roman"/>
          <w:sz w:val="24"/>
          <w:szCs w:val="24"/>
        </w:rPr>
        <w:lastRenderedPageBreak/>
        <w:t>conflict directly attributed to states in rivalries during the last decade is at its lowest percentage of the time frame we sampled, even as the region remains highly conflict</w:t>
      </w:r>
      <w:r w:rsidR="003307D9">
        <w:rPr>
          <w:rFonts w:ascii="Times New Roman" w:hAnsi="Times New Roman" w:cs="Times New Roman"/>
          <w:sz w:val="24"/>
          <w:szCs w:val="24"/>
        </w:rPr>
        <w:t>-</w:t>
      </w:r>
      <w:r>
        <w:rPr>
          <w:rFonts w:ascii="Times New Roman" w:hAnsi="Times New Roman" w:cs="Times New Roman"/>
          <w:sz w:val="24"/>
          <w:szCs w:val="24"/>
        </w:rPr>
        <w:t>prone.</w:t>
      </w:r>
      <w:r w:rsidR="00BC4E04">
        <w:rPr>
          <w:rStyle w:val="FootnoteReference"/>
          <w:rFonts w:ascii="Times New Roman" w:hAnsi="Times New Roman" w:cs="Times New Roman"/>
          <w:sz w:val="24"/>
          <w:szCs w:val="24"/>
        </w:rPr>
        <w:footnoteReference w:id="22"/>
      </w:r>
    </w:p>
    <w:p w14:paraId="4E3F926C" w14:textId="356260A8" w:rsidR="00A31F56" w:rsidRDefault="00A31F56" w:rsidP="003614AD">
      <w:pPr>
        <w:spacing w:line="480" w:lineRule="auto"/>
        <w:rPr>
          <w:rFonts w:ascii="Times New Roman" w:hAnsi="Times New Roman" w:cs="Times New Roman"/>
          <w:sz w:val="24"/>
          <w:szCs w:val="24"/>
        </w:rPr>
      </w:pPr>
      <w:r>
        <w:rPr>
          <w:rFonts w:ascii="Times New Roman" w:hAnsi="Times New Roman" w:cs="Times New Roman"/>
          <w:sz w:val="24"/>
          <w:szCs w:val="24"/>
        </w:rPr>
        <w:tab/>
        <w:t>Third, and to the extent the region’s highly dense rivalry field has created so much conflict, it is well worth probing the conditions under which the field can further diminish. Our exploration of political shocks and their impact on the region has been brief, but it does indicate</w:t>
      </w:r>
      <w:r w:rsidR="00F93D6F">
        <w:rPr>
          <w:rFonts w:ascii="Times New Roman" w:hAnsi="Times New Roman" w:cs="Times New Roman"/>
          <w:sz w:val="24"/>
          <w:szCs w:val="24"/>
        </w:rPr>
        <w:t xml:space="preserve"> </w:t>
      </w:r>
      <w:r>
        <w:rPr>
          <w:rFonts w:ascii="Times New Roman" w:hAnsi="Times New Roman" w:cs="Times New Roman"/>
          <w:sz w:val="24"/>
          <w:szCs w:val="24"/>
        </w:rPr>
        <w:t>such shocks can have a strong impact on the rivalry field, either substantially increasing its density, or, reducing it under certain circumstances. What we have failed to do, given chapter limitations and the limitations of data, is to systematically assess the conditions under which such political shocks may work in opposing directions.</w:t>
      </w:r>
      <w:r w:rsidR="00C40636">
        <w:rPr>
          <w:rStyle w:val="FootnoteReference"/>
          <w:rFonts w:ascii="Times New Roman" w:hAnsi="Times New Roman" w:cs="Times New Roman"/>
          <w:sz w:val="24"/>
          <w:szCs w:val="24"/>
        </w:rPr>
        <w:footnoteReference w:id="23"/>
      </w:r>
    </w:p>
    <w:p w14:paraId="718280FF" w14:textId="51C08623" w:rsidR="00A31F56" w:rsidRDefault="00A31F56" w:rsidP="003614A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What remains clear is that political shocks </w:t>
      </w:r>
      <w:r w:rsidR="001422FD">
        <w:rPr>
          <w:rFonts w:ascii="Times New Roman" w:hAnsi="Times New Roman" w:cs="Times New Roman"/>
          <w:sz w:val="24"/>
          <w:szCs w:val="24"/>
        </w:rPr>
        <w:t>should</w:t>
      </w:r>
      <w:r>
        <w:rPr>
          <w:rFonts w:ascii="Times New Roman" w:hAnsi="Times New Roman" w:cs="Times New Roman"/>
          <w:sz w:val="24"/>
          <w:szCs w:val="24"/>
        </w:rPr>
        <w:t xml:space="preserve"> be integrated into any meaningful analysis of changes in regional politics. It would be useful to know</w:t>
      </w:r>
      <w:r w:rsidR="00F93D6F">
        <w:rPr>
          <w:rFonts w:ascii="Times New Roman" w:hAnsi="Times New Roman" w:cs="Times New Roman"/>
          <w:sz w:val="24"/>
          <w:szCs w:val="24"/>
        </w:rPr>
        <w:t>,</w:t>
      </w:r>
      <w:r>
        <w:rPr>
          <w:rFonts w:ascii="Times New Roman" w:hAnsi="Times New Roman" w:cs="Times New Roman"/>
          <w:sz w:val="24"/>
          <w:szCs w:val="24"/>
        </w:rPr>
        <w:t xml:space="preserve"> for instance</w:t>
      </w:r>
      <w:r w:rsidR="00F93D6F">
        <w:rPr>
          <w:rFonts w:ascii="Times New Roman" w:hAnsi="Times New Roman" w:cs="Times New Roman"/>
          <w:sz w:val="24"/>
          <w:szCs w:val="24"/>
        </w:rPr>
        <w:t>,</w:t>
      </w:r>
      <w:r>
        <w:rPr>
          <w:rFonts w:ascii="Times New Roman" w:hAnsi="Times New Roman" w:cs="Times New Roman"/>
          <w:sz w:val="24"/>
          <w:szCs w:val="24"/>
        </w:rPr>
        <w:t xml:space="preserve"> if the Middle East is also unique in facing an onslaught of political shocks </w:t>
      </w:r>
      <w:r w:rsidR="00223375">
        <w:rPr>
          <w:rFonts w:ascii="Times New Roman" w:hAnsi="Times New Roman" w:cs="Times New Roman"/>
          <w:sz w:val="24"/>
          <w:szCs w:val="24"/>
        </w:rPr>
        <w:t>(</w:t>
      </w:r>
      <w:r w:rsidR="008C75CF">
        <w:rPr>
          <w:rFonts w:ascii="Times New Roman" w:hAnsi="Times New Roman" w:cs="Times New Roman"/>
          <w:sz w:val="24"/>
          <w:szCs w:val="24"/>
        </w:rPr>
        <w:t>or “</w:t>
      </w:r>
      <w:r w:rsidR="00223375">
        <w:rPr>
          <w:rFonts w:ascii="Times New Roman" w:hAnsi="Times New Roman" w:cs="Times New Roman"/>
          <w:sz w:val="24"/>
          <w:szCs w:val="24"/>
        </w:rPr>
        <w:t>shock waves</w:t>
      </w:r>
      <w:r w:rsidR="008C75CF">
        <w:rPr>
          <w:rFonts w:ascii="Times New Roman" w:hAnsi="Times New Roman" w:cs="Times New Roman"/>
          <w:sz w:val="24"/>
          <w:szCs w:val="24"/>
        </w:rPr>
        <w:t>”</w:t>
      </w:r>
      <w:r w:rsidR="00223375">
        <w:rPr>
          <w:rFonts w:ascii="Times New Roman" w:hAnsi="Times New Roman" w:cs="Times New Roman"/>
          <w:sz w:val="24"/>
          <w:szCs w:val="24"/>
        </w:rPr>
        <w:t xml:space="preserve">) </w:t>
      </w:r>
      <w:r>
        <w:rPr>
          <w:rFonts w:ascii="Times New Roman" w:hAnsi="Times New Roman" w:cs="Times New Roman"/>
          <w:sz w:val="24"/>
          <w:szCs w:val="24"/>
        </w:rPr>
        <w:t xml:space="preserve">fundamentally greater in volume and scope than other regions. </w:t>
      </w:r>
      <w:r w:rsidR="00223375">
        <w:rPr>
          <w:rFonts w:ascii="Times New Roman" w:hAnsi="Times New Roman" w:cs="Times New Roman"/>
          <w:sz w:val="24"/>
          <w:szCs w:val="24"/>
        </w:rPr>
        <w:t xml:space="preserve">Regional governance </w:t>
      </w:r>
      <w:r w:rsidR="0072108C">
        <w:rPr>
          <w:rFonts w:ascii="Times New Roman" w:hAnsi="Times New Roman" w:cs="Times New Roman"/>
          <w:sz w:val="24"/>
          <w:szCs w:val="24"/>
        </w:rPr>
        <w:t xml:space="preserve">exposed to </w:t>
      </w:r>
      <w:r w:rsidR="00223375">
        <w:rPr>
          <w:rFonts w:ascii="Times New Roman" w:hAnsi="Times New Roman" w:cs="Times New Roman"/>
          <w:sz w:val="24"/>
          <w:szCs w:val="24"/>
        </w:rPr>
        <w:t xml:space="preserve">such shock waves becomes highly </w:t>
      </w:r>
      <w:r w:rsidR="00F93D6F">
        <w:rPr>
          <w:rFonts w:ascii="Times New Roman" w:hAnsi="Times New Roman" w:cs="Times New Roman"/>
          <w:sz w:val="24"/>
          <w:szCs w:val="24"/>
        </w:rPr>
        <w:t xml:space="preserve">difficult and </w:t>
      </w:r>
      <w:r w:rsidR="00223375">
        <w:rPr>
          <w:rFonts w:ascii="Times New Roman" w:hAnsi="Times New Roman" w:cs="Times New Roman"/>
          <w:sz w:val="24"/>
          <w:szCs w:val="24"/>
        </w:rPr>
        <w:t>problematic. We would want to know as well if different types of shocks have different consequences for regional dynamics. Under what conditions (e.g.</w:t>
      </w:r>
      <w:r w:rsidR="00F93D6F">
        <w:rPr>
          <w:rFonts w:ascii="Times New Roman" w:hAnsi="Times New Roman" w:cs="Times New Roman"/>
          <w:sz w:val="24"/>
          <w:szCs w:val="24"/>
        </w:rPr>
        <w:t>,</w:t>
      </w:r>
      <w:r w:rsidR="00223375">
        <w:rPr>
          <w:rFonts w:ascii="Times New Roman" w:hAnsi="Times New Roman" w:cs="Times New Roman"/>
          <w:sz w:val="24"/>
          <w:szCs w:val="24"/>
        </w:rPr>
        <w:t xml:space="preserve"> see Rasler in this volume) do domestic shocks impact the entire region? Do systemic, global shocks have the same impact in the </w:t>
      </w:r>
      <w:r w:rsidR="00210C20">
        <w:rPr>
          <w:rFonts w:ascii="Times New Roman" w:hAnsi="Times New Roman" w:cs="Times New Roman"/>
          <w:sz w:val="24"/>
          <w:szCs w:val="24"/>
        </w:rPr>
        <w:t>Middle East</w:t>
      </w:r>
      <w:r w:rsidR="00223375">
        <w:rPr>
          <w:rFonts w:ascii="Times New Roman" w:hAnsi="Times New Roman" w:cs="Times New Roman"/>
          <w:sz w:val="24"/>
          <w:szCs w:val="24"/>
        </w:rPr>
        <w:t xml:space="preserve"> as they do elsewhere and why? Under what conditions can certain shocks offset each other, or drive the region in different directions, as in the case</w:t>
      </w:r>
      <w:r w:rsidR="0072108C">
        <w:rPr>
          <w:rFonts w:ascii="Times New Roman" w:hAnsi="Times New Roman" w:cs="Times New Roman"/>
          <w:sz w:val="24"/>
          <w:szCs w:val="24"/>
        </w:rPr>
        <w:t>s</w:t>
      </w:r>
      <w:r w:rsidR="00223375">
        <w:rPr>
          <w:rFonts w:ascii="Times New Roman" w:hAnsi="Times New Roman" w:cs="Times New Roman"/>
          <w:sz w:val="24"/>
          <w:szCs w:val="24"/>
        </w:rPr>
        <w:t xml:space="preserve"> of </w:t>
      </w:r>
      <w:r w:rsidR="0072108C">
        <w:rPr>
          <w:rFonts w:ascii="Times New Roman" w:hAnsi="Times New Roman" w:cs="Times New Roman"/>
          <w:sz w:val="24"/>
          <w:szCs w:val="24"/>
        </w:rPr>
        <w:t xml:space="preserve">the shocks generated by both </w:t>
      </w:r>
      <w:r w:rsidR="00223375">
        <w:rPr>
          <w:rFonts w:ascii="Times New Roman" w:hAnsi="Times New Roman" w:cs="Times New Roman"/>
          <w:sz w:val="24"/>
          <w:szCs w:val="24"/>
        </w:rPr>
        <w:t>Camp David and the Khome</w:t>
      </w:r>
      <w:r w:rsidR="001B7772">
        <w:rPr>
          <w:rFonts w:ascii="Times New Roman" w:hAnsi="Times New Roman" w:cs="Times New Roman"/>
          <w:sz w:val="24"/>
          <w:szCs w:val="24"/>
        </w:rPr>
        <w:t>i</w:t>
      </w:r>
      <w:r w:rsidR="00223375">
        <w:rPr>
          <w:rFonts w:ascii="Times New Roman" w:hAnsi="Times New Roman" w:cs="Times New Roman"/>
          <w:sz w:val="24"/>
          <w:szCs w:val="24"/>
        </w:rPr>
        <w:t xml:space="preserve">ni revolution? Under </w:t>
      </w:r>
      <w:r w:rsidR="00223375">
        <w:rPr>
          <w:rFonts w:ascii="Times New Roman" w:hAnsi="Times New Roman" w:cs="Times New Roman"/>
          <w:sz w:val="24"/>
          <w:szCs w:val="24"/>
        </w:rPr>
        <w:lastRenderedPageBreak/>
        <w:t>what conditions do shocks cease to be shocks and are perceived by foreign policymakers as a “normal” attribute of the region?</w:t>
      </w:r>
      <w:r w:rsidR="00991C58">
        <w:rPr>
          <w:rFonts w:ascii="Times New Roman" w:hAnsi="Times New Roman" w:cs="Times New Roman"/>
          <w:sz w:val="24"/>
          <w:szCs w:val="24"/>
        </w:rPr>
        <w:t xml:space="preserve"> </w:t>
      </w:r>
      <w:r w:rsidR="008A74B2">
        <w:rPr>
          <w:rFonts w:ascii="Times New Roman" w:hAnsi="Times New Roman" w:cs="Times New Roman"/>
          <w:sz w:val="24"/>
          <w:szCs w:val="24"/>
        </w:rPr>
        <w:t>U</w:t>
      </w:r>
      <w:r w:rsidR="00991C58">
        <w:rPr>
          <w:rFonts w:ascii="Times New Roman" w:hAnsi="Times New Roman" w:cs="Times New Roman"/>
          <w:sz w:val="24"/>
          <w:szCs w:val="24"/>
        </w:rPr>
        <w:t>nder what conditions does an event rise to the status of a shock in the first place?</w:t>
      </w:r>
      <w:r w:rsidR="00991C58">
        <w:rPr>
          <w:rStyle w:val="FootnoteReference"/>
          <w:rFonts w:ascii="Times New Roman" w:hAnsi="Times New Roman" w:cs="Times New Roman"/>
          <w:sz w:val="24"/>
          <w:szCs w:val="24"/>
        </w:rPr>
        <w:footnoteReference w:id="24"/>
      </w:r>
      <w:r w:rsidR="00991C58">
        <w:rPr>
          <w:rFonts w:ascii="Times New Roman" w:hAnsi="Times New Roman" w:cs="Times New Roman"/>
          <w:sz w:val="24"/>
          <w:szCs w:val="24"/>
        </w:rPr>
        <w:t xml:space="preserve"> </w:t>
      </w:r>
      <w:r w:rsidR="00B85428">
        <w:rPr>
          <w:rFonts w:ascii="Times New Roman" w:hAnsi="Times New Roman" w:cs="Times New Roman"/>
          <w:sz w:val="24"/>
          <w:szCs w:val="24"/>
        </w:rPr>
        <w:t xml:space="preserve">Can we differentiate between shocks that have an immediate impact versus those that take substantial time to weave through the region’s politics? </w:t>
      </w:r>
      <w:r w:rsidR="00223375">
        <w:rPr>
          <w:rFonts w:ascii="Times New Roman" w:hAnsi="Times New Roman" w:cs="Times New Roman"/>
          <w:sz w:val="24"/>
          <w:szCs w:val="24"/>
        </w:rPr>
        <w:t>We have answers to none of these question</w:t>
      </w:r>
      <w:r w:rsidR="00054DEB">
        <w:rPr>
          <w:rFonts w:ascii="Times New Roman" w:hAnsi="Times New Roman" w:cs="Times New Roman"/>
          <w:sz w:val="24"/>
          <w:szCs w:val="24"/>
        </w:rPr>
        <w:t>s</w:t>
      </w:r>
      <w:r w:rsidR="00223375">
        <w:rPr>
          <w:rFonts w:ascii="Times New Roman" w:hAnsi="Times New Roman" w:cs="Times New Roman"/>
          <w:sz w:val="24"/>
          <w:szCs w:val="24"/>
        </w:rPr>
        <w:t>, but they appear to be critical avenues worth</w:t>
      </w:r>
      <w:r w:rsidR="0072108C">
        <w:rPr>
          <w:rFonts w:ascii="Times New Roman" w:hAnsi="Times New Roman" w:cs="Times New Roman"/>
          <w:sz w:val="24"/>
          <w:szCs w:val="24"/>
        </w:rPr>
        <w:t>y of further</w:t>
      </w:r>
      <w:r w:rsidR="00223375">
        <w:rPr>
          <w:rFonts w:ascii="Times New Roman" w:hAnsi="Times New Roman" w:cs="Times New Roman"/>
          <w:sz w:val="24"/>
          <w:szCs w:val="24"/>
        </w:rPr>
        <w:t xml:space="preserve"> pursui</w:t>
      </w:r>
      <w:r w:rsidR="0072108C">
        <w:rPr>
          <w:rFonts w:ascii="Times New Roman" w:hAnsi="Times New Roman" w:cs="Times New Roman"/>
          <w:sz w:val="24"/>
          <w:szCs w:val="24"/>
        </w:rPr>
        <w:t>t</w:t>
      </w:r>
      <w:r w:rsidR="00223375">
        <w:rPr>
          <w:rFonts w:ascii="Times New Roman" w:hAnsi="Times New Roman" w:cs="Times New Roman"/>
          <w:sz w:val="24"/>
          <w:szCs w:val="24"/>
        </w:rPr>
        <w:t xml:space="preserve">, not only for a greater understanding of the Middle East, but </w:t>
      </w:r>
      <w:r w:rsidR="0072108C">
        <w:rPr>
          <w:rFonts w:ascii="Times New Roman" w:hAnsi="Times New Roman" w:cs="Times New Roman"/>
          <w:sz w:val="24"/>
          <w:szCs w:val="24"/>
        </w:rPr>
        <w:t xml:space="preserve">as well </w:t>
      </w:r>
      <w:r w:rsidR="00223375">
        <w:rPr>
          <w:rFonts w:ascii="Times New Roman" w:hAnsi="Times New Roman" w:cs="Times New Roman"/>
          <w:sz w:val="24"/>
          <w:szCs w:val="24"/>
        </w:rPr>
        <w:t>for more thorough explanations of regions that undergo substantial changes.</w:t>
      </w:r>
    </w:p>
    <w:p w14:paraId="27E8ACBD" w14:textId="4E0F934A" w:rsidR="00210C20" w:rsidRDefault="00210C20" w:rsidP="003614AD">
      <w:pPr>
        <w:spacing w:line="480" w:lineRule="auto"/>
        <w:rPr>
          <w:rFonts w:ascii="Times New Roman" w:hAnsi="Times New Roman" w:cs="Times New Roman"/>
          <w:sz w:val="24"/>
          <w:szCs w:val="24"/>
        </w:rPr>
      </w:pPr>
      <w:r>
        <w:rPr>
          <w:rFonts w:ascii="Times New Roman" w:hAnsi="Times New Roman" w:cs="Times New Roman"/>
          <w:sz w:val="24"/>
          <w:szCs w:val="24"/>
        </w:rPr>
        <w:tab/>
        <w:t>In this sense</w:t>
      </w:r>
      <w:r w:rsidR="00047975">
        <w:rPr>
          <w:rFonts w:ascii="Times New Roman" w:hAnsi="Times New Roman" w:cs="Times New Roman"/>
          <w:sz w:val="24"/>
          <w:szCs w:val="24"/>
        </w:rPr>
        <w:t>,</w:t>
      </w:r>
      <w:r>
        <w:rPr>
          <w:rFonts w:ascii="Times New Roman" w:hAnsi="Times New Roman" w:cs="Times New Roman"/>
          <w:sz w:val="24"/>
          <w:szCs w:val="24"/>
        </w:rPr>
        <w:t xml:space="preserve"> it would be highly useful to try to link the concept of shocks to the growing literature on diffusion and contagion processes (e.g.</w:t>
      </w:r>
      <w:r w:rsidR="006914EC">
        <w:rPr>
          <w:rFonts w:ascii="Times New Roman" w:hAnsi="Times New Roman" w:cs="Times New Roman"/>
          <w:sz w:val="24"/>
          <w:szCs w:val="24"/>
        </w:rPr>
        <w:t>,</w:t>
      </w:r>
      <w:r>
        <w:rPr>
          <w:rFonts w:ascii="Times New Roman" w:hAnsi="Times New Roman" w:cs="Times New Roman"/>
          <w:sz w:val="24"/>
          <w:szCs w:val="24"/>
        </w:rPr>
        <w:t xml:space="preserve"> Solingen </w:t>
      </w:r>
      <w:r w:rsidR="00591541">
        <w:rPr>
          <w:rFonts w:ascii="Times New Roman" w:hAnsi="Times New Roman" w:cs="Times New Roman"/>
          <w:sz w:val="24"/>
          <w:szCs w:val="24"/>
        </w:rPr>
        <w:t>2012,</w:t>
      </w:r>
      <w:r>
        <w:rPr>
          <w:rFonts w:ascii="Times New Roman" w:hAnsi="Times New Roman" w:cs="Times New Roman"/>
          <w:sz w:val="24"/>
          <w:szCs w:val="24"/>
        </w:rPr>
        <w:t xml:space="preserve"> Braithwaite</w:t>
      </w:r>
      <w:r w:rsidR="009D07C6">
        <w:rPr>
          <w:rFonts w:ascii="Times New Roman" w:hAnsi="Times New Roman" w:cs="Times New Roman"/>
          <w:sz w:val="24"/>
          <w:szCs w:val="24"/>
        </w:rPr>
        <w:t xml:space="preserve"> 2006</w:t>
      </w:r>
      <w:r>
        <w:rPr>
          <w:rFonts w:ascii="Times New Roman" w:hAnsi="Times New Roman" w:cs="Times New Roman"/>
          <w:sz w:val="24"/>
          <w:szCs w:val="24"/>
        </w:rPr>
        <w:t>). We know for instance that the Arab Spring diffused to parts of the Middle East (e.g.</w:t>
      </w:r>
      <w:r w:rsidR="006914EC">
        <w:rPr>
          <w:rFonts w:ascii="Times New Roman" w:hAnsi="Times New Roman" w:cs="Times New Roman"/>
          <w:sz w:val="24"/>
          <w:szCs w:val="24"/>
        </w:rPr>
        <w:t>,</w:t>
      </w:r>
      <w:r>
        <w:rPr>
          <w:rFonts w:ascii="Times New Roman" w:hAnsi="Times New Roman" w:cs="Times New Roman"/>
          <w:sz w:val="24"/>
          <w:szCs w:val="24"/>
        </w:rPr>
        <w:t xml:space="preserve"> Egypt) while being aggressively contained elsewhere (e.g., Qatar, Saudi Arabia). Minimizing diffusion of such shocks is more manageable in regions with a hierarchy where the dominant power can, to some extent anticipate such shocks, or to respond to them quickly to minimize their spread across the region when it is not in the interest of the dominant power to have such diffusion occur. It is far more difficult to minimize such diffusion in regions without a hierarchy. </w:t>
      </w:r>
      <w:r w:rsidR="00DC489E">
        <w:rPr>
          <w:rFonts w:ascii="Times New Roman" w:hAnsi="Times New Roman" w:cs="Times New Roman"/>
          <w:sz w:val="24"/>
          <w:szCs w:val="24"/>
        </w:rPr>
        <w:t xml:space="preserve">Developing a clearer understanding of conditions under which states are willing (and able) to minimize </w:t>
      </w:r>
      <w:r w:rsidR="00125620">
        <w:rPr>
          <w:rFonts w:ascii="Times New Roman" w:hAnsi="Times New Roman" w:cs="Times New Roman"/>
          <w:sz w:val="24"/>
          <w:szCs w:val="24"/>
        </w:rPr>
        <w:t>shocks by creating diffusion firewalls</w:t>
      </w:r>
      <w:r w:rsidR="00DC489E">
        <w:rPr>
          <w:rFonts w:ascii="Times New Roman" w:hAnsi="Times New Roman" w:cs="Times New Roman"/>
          <w:sz w:val="24"/>
          <w:szCs w:val="24"/>
        </w:rPr>
        <w:t xml:space="preserve"> may be one key to a better understanding of when political shocks become more or less salient in a region.</w:t>
      </w:r>
      <w:r w:rsidR="005464E8">
        <w:rPr>
          <w:rFonts w:ascii="Times New Roman" w:hAnsi="Times New Roman" w:cs="Times New Roman"/>
          <w:sz w:val="24"/>
          <w:szCs w:val="24"/>
        </w:rPr>
        <w:t xml:space="preserve"> </w:t>
      </w:r>
    </w:p>
    <w:p w14:paraId="7CB20B4E" w14:textId="5DC164B6" w:rsidR="00E524F5" w:rsidRDefault="00E524F5" w:rsidP="003614AD">
      <w:pPr>
        <w:spacing w:line="480" w:lineRule="auto"/>
        <w:rPr>
          <w:rFonts w:ascii="Times New Roman" w:hAnsi="Times New Roman" w:cs="Times New Roman"/>
          <w:sz w:val="24"/>
          <w:szCs w:val="24"/>
        </w:rPr>
      </w:pPr>
      <w:r>
        <w:rPr>
          <w:rFonts w:ascii="Times New Roman" w:hAnsi="Times New Roman" w:cs="Times New Roman"/>
          <w:sz w:val="24"/>
          <w:szCs w:val="24"/>
        </w:rPr>
        <w:tab/>
        <w:t>The salience of non-state actors in both the Arab Spring and</w:t>
      </w:r>
      <w:r w:rsidR="009206A3">
        <w:rPr>
          <w:rFonts w:ascii="Times New Roman" w:hAnsi="Times New Roman" w:cs="Times New Roman"/>
          <w:sz w:val="24"/>
          <w:szCs w:val="24"/>
        </w:rPr>
        <w:t>,</w:t>
      </w:r>
      <w:r>
        <w:rPr>
          <w:rFonts w:ascii="Times New Roman" w:hAnsi="Times New Roman" w:cs="Times New Roman"/>
          <w:sz w:val="24"/>
          <w:szCs w:val="24"/>
        </w:rPr>
        <w:t xml:space="preserve"> at least regarding domestic shocks</w:t>
      </w:r>
      <w:r w:rsidR="001422FD">
        <w:rPr>
          <w:rFonts w:ascii="Times New Roman" w:hAnsi="Times New Roman" w:cs="Times New Roman"/>
          <w:sz w:val="24"/>
          <w:szCs w:val="24"/>
        </w:rPr>
        <w:t>,</w:t>
      </w:r>
      <w:r>
        <w:rPr>
          <w:rFonts w:ascii="Times New Roman" w:hAnsi="Times New Roman" w:cs="Times New Roman"/>
          <w:sz w:val="24"/>
          <w:szCs w:val="24"/>
        </w:rPr>
        <w:t xml:space="preserve"> also highlight another limitation </w:t>
      </w:r>
      <w:r w:rsidR="009206A3">
        <w:rPr>
          <w:rFonts w:ascii="Times New Roman" w:hAnsi="Times New Roman" w:cs="Times New Roman"/>
          <w:sz w:val="24"/>
          <w:szCs w:val="24"/>
        </w:rPr>
        <w:t>of</w:t>
      </w:r>
      <w:r>
        <w:rPr>
          <w:rFonts w:ascii="Times New Roman" w:hAnsi="Times New Roman" w:cs="Times New Roman"/>
          <w:sz w:val="24"/>
          <w:szCs w:val="24"/>
        </w:rPr>
        <w:t xml:space="preserve"> this analysis. Both the nature of intra-regional conflict and our key independent variables have focused on state actors and state interactions. </w:t>
      </w:r>
      <w:r>
        <w:rPr>
          <w:rFonts w:ascii="Times New Roman" w:hAnsi="Times New Roman" w:cs="Times New Roman"/>
          <w:sz w:val="24"/>
          <w:szCs w:val="24"/>
        </w:rPr>
        <w:lastRenderedPageBreak/>
        <w:t xml:space="preserve">We have not considered conflicts in the region between non-state actors nor between non-state actors and states. </w:t>
      </w:r>
      <w:r w:rsidR="00841453">
        <w:rPr>
          <w:rFonts w:ascii="Times New Roman" w:hAnsi="Times New Roman" w:cs="Times New Roman"/>
          <w:sz w:val="24"/>
          <w:szCs w:val="24"/>
        </w:rPr>
        <w:t xml:space="preserve">Yet, as the aftermath of the 2003 invasion of Iraq </w:t>
      </w:r>
      <w:r w:rsidR="00591541">
        <w:rPr>
          <w:rFonts w:ascii="Times New Roman" w:hAnsi="Times New Roman" w:cs="Times New Roman"/>
          <w:sz w:val="24"/>
          <w:szCs w:val="24"/>
        </w:rPr>
        <w:t xml:space="preserve">and the Syrian civil war </w:t>
      </w:r>
      <w:r w:rsidR="00841453">
        <w:rPr>
          <w:rFonts w:ascii="Times New Roman" w:hAnsi="Times New Roman" w:cs="Times New Roman"/>
          <w:sz w:val="24"/>
          <w:szCs w:val="24"/>
        </w:rPr>
        <w:t xml:space="preserve">should remind us, numerous non-state actors operate across the region (from </w:t>
      </w:r>
      <w:r w:rsidR="00FF705D">
        <w:rPr>
          <w:rFonts w:ascii="Times New Roman" w:hAnsi="Times New Roman" w:cs="Times New Roman"/>
          <w:sz w:val="24"/>
          <w:szCs w:val="24"/>
        </w:rPr>
        <w:t xml:space="preserve">Hezbollah and </w:t>
      </w:r>
      <w:r w:rsidR="00841453">
        <w:rPr>
          <w:rFonts w:ascii="Times New Roman" w:hAnsi="Times New Roman" w:cs="Times New Roman"/>
          <w:sz w:val="24"/>
          <w:szCs w:val="24"/>
        </w:rPr>
        <w:t xml:space="preserve">ISIS to </w:t>
      </w:r>
      <w:r w:rsidR="009D07C6">
        <w:rPr>
          <w:rFonts w:ascii="Times New Roman" w:hAnsi="Times New Roman" w:cs="Times New Roman"/>
          <w:sz w:val="24"/>
          <w:szCs w:val="24"/>
        </w:rPr>
        <w:t xml:space="preserve">the </w:t>
      </w:r>
      <w:r w:rsidR="00991C58">
        <w:rPr>
          <w:rFonts w:ascii="Times New Roman" w:hAnsi="Times New Roman" w:cs="Times New Roman"/>
          <w:sz w:val="24"/>
          <w:szCs w:val="24"/>
        </w:rPr>
        <w:t>PKK</w:t>
      </w:r>
      <w:r w:rsidR="00841453">
        <w:rPr>
          <w:rFonts w:ascii="Times New Roman" w:hAnsi="Times New Roman" w:cs="Times New Roman"/>
          <w:sz w:val="24"/>
          <w:szCs w:val="24"/>
        </w:rPr>
        <w:t>)</w:t>
      </w:r>
      <w:r w:rsidR="001F2258">
        <w:rPr>
          <w:rFonts w:ascii="Times New Roman" w:hAnsi="Times New Roman" w:cs="Times New Roman"/>
          <w:sz w:val="24"/>
          <w:szCs w:val="24"/>
        </w:rPr>
        <w:t xml:space="preserve">.  These actors </w:t>
      </w:r>
      <w:r w:rsidR="00841453">
        <w:rPr>
          <w:rFonts w:ascii="Times New Roman" w:hAnsi="Times New Roman" w:cs="Times New Roman"/>
          <w:sz w:val="24"/>
          <w:szCs w:val="24"/>
        </w:rPr>
        <w:t>often</w:t>
      </w:r>
      <w:r w:rsidR="001F2258">
        <w:rPr>
          <w:rFonts w:ascii="Times New Roman" w:hAnsi="Times New Roman" w:cs="Times New Roman"/>
          <w:sz w:val="24"/>
          <w:szCs w:val="24"/>
        </w:rPr>
        <w:t xml:space="preserve"> interact</w:t>
      </w:r>
      <w:r w:rsidR="00841453">
        <w:rPr>
          <w:rFonts w:ascii="Times New Roman" w:hAnsi="Times New Roman" w:cs="Times New Roman"/>
          <w:sz w:val="24"/>
          <w:szCs w:val="24"/>
        </w:rPr>
        <w:t xml:space="preserve"> across state</w:t>
      </w:r>
      <w:r w:rsidR="001F2258">
        <w:rPr>
          <w:rFonts w:ascii="Times New Roman" w:hAnsi="Times New Roman" w:cs="Times New Roman"/>
          <w:sz w:val="24"/>
          <w:szCs w:val="24"/>
        </w:rPr>
        <w:t xml:space="preserve"> borders</w:t>
      </w:r>
      <w:r w:rsidR="00841453">
        <w:rPr>
          <w:rFonts w:ascii="Times New Roman" w:hAnsi="Times New Roman" w:cs="Times New Roman"/>
          <w:sz w:val="24"/>
          <w:szCs w:val="24"/>
        </w:rPr>
        <w:t xml:space="preserve">, and </w:t>
      </w:r>
      <w:r w:rsidR="00591541">
        <w:rPr>
          <w:rFonts w:ascii="Times New Roman" w:hAnsi="Times New Roman" w:cs="Times New Roman"/>
          <w:sz w:val="24"/>
          <w:szCs w:val="24"/>
        </w:rPr>
        <w:t xml:space="preserve">they </w:t>
      </w:r>
      <w:r w:rsidR="00841453">
        <w:rPr>
          <w:rFonts w:ascii="Times New Roman" w:hAnsi="Times New Roman" w:cs="Times New Roman"/>
          <w:sz w:val="24"/>
          <w:szCs w:val="24"/>
        </w:rPr>
        <w:t xml:space="preserve">often clash with state and other non-state actors. The complex interplay between shocks and rivalry fields </w:t>
      </w:r>
      <w:r w:rsidR="00991C58">
        <w:rPr>
          <w:rFonts w:ascii="Times New Roman" w:hAnsi="Times New Roman" w:cs="Times New Roman"/>
          <w:sz w:val="24"/>
          <w:szCs w:val="24"/>
        </w:rPr>
        <w:t>must</w:t>
      </w:r>
      <w:r w:rsidR="00841453">
        <w:rPr>
          <w:rFonts w:ascii="Times New Roman" w:hAnsi="Times New Roman" w:cs="Times New Roman"/>
          <w:sz w:val="24"/>
          <w:szCs w:val="24"/>
        </w:rPr>
        <w:t xml:space="preserve"> take them into account as well and their activities should also be part of the assessment of how much conflict exists in the Middle East</w:t>
      </w:r>
      <w:r w:rsidR="00991C58">
        <w:rPr>
          <w:rFonts w:ascii="Times New Roman" w:hAnsi="Times New Roman" w:cs="Times New Roman"/>
          <w:sz w:val="24"/>
          <w:szCs w:val="24"/>
        </w:rPr>
        <w:t xml:space="preserve"> and whether it is unique in this regard</w:t>
      </w:r>
      <w:r w:rsidR="00841453">
        <w:rPr>
          <w:rFonts w:ascii="Times New Roman" w:hAnsi="Times New Roman" w:cs="Times New Roman"/>
          <w:sz w:val="24"/>
          <w:szCs w:val="24"/>
        </w:rPr>
        <w:t>.</w:t>
      </w:r>
      <w:r w:rsidR="00841453">
        <w:rPr>
          <w:rStyle w:val="FootnoteReference"/>
          <w:rFonts w:ascii="Times New Roman" w:hAnsi="Times New Roman" w:cs="Times New Roman"/>
          <w:sz w:val="24"/>
          <w:szCs w:val="24"/>
        </w:rPr>
        <w:footnoteReference w:id="25"/>
      </w:r>
    </w:p>
    <w:p w14:paraId="7187194B" w14:textId="025ABF9C" w:rsidR="006B4445" w:rsidRDefault="006B4445" w:rsidP="003614A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Finally, any consideration of the Middle East becoming a more peaceful region may depend in significant part on whether it can accommodate the eventual rise of a </w:t>
      </w:r>
      <w:r w:rsidR="008000D8">
        <w:rPr>
          <w:rFonts w:ascii="Times New Roman" w:hAnsi="Times New Roman" w:cs="Times New Roman"/>
          <w:sz w:val="24"/>
          <w:szCs w:val="24"/>
        </w:rPr>
        <w:t>regional power</w:t>
      </w:r>
      <w:r>
        <w:rPr>
          <w:rFonts w:ascii="Times New Roman" w:hAnsi="Times New Roman" w:cs="Times New Roman"/>
          <w:sz w:val="24"/>
          <w:szCs w:val="24"/>
        </w:rPr>
        <w:t>. As we note</w:t>
      </w:r>
      <w:r w:rsidR="008000D8">
        <w:rPr>
          <w:rFonts w:ascii="Times New Roman" w:hAnsi="Times New Roman" w:cs="Times New Roman"/>
          <w:sz w:val="24"/>
          <w:szCs w:val="24"/>
        </w:rPr>
        <w:t>d earlier</w:t>
      </w:r>
      <w:r>
        <w:rPr>
          <w:rFonts w:ascii="Times New Roman" w:hAnsi="Times New Roman" w:cs="Times New Roman"/>
          <w:sz w:val="24"/>
          <w:szCs w:val="24"/>
        </w:rPr>
        <w:t xml:space="preserve"> from our comparative analysis, regions that contain a major power or a regional power also demonstrate substantially less intra-regional conflict, including minimizing some of the effects of intra-regional rivalries.</w:t>
      </w:r>
      <w:r>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w:t>
      </w:r>
      <w:r w:rsidR="00236B8B">
        <w:rPr>
          <w:rFonts w:ascii="Times New Roman" w:hAnsi="Times New Roman" w:cs="Times New Roman"/>
          <w:sz w:val="24"/>
          <w:szCs w:val="24"/>
        </w:rPr>
        <w:t>Regional powers</w:t>
      </w:r>
      <w:r w:rsidR="00A61765">
        <w:rPr>
          <w:rFonts w:ascii="Times New Roman" w:hAnsi="Times New Roman" w:cs="Times New Roman"/>
          <w:sz w:val="24"/>
          <w:szCs w:val="24"/>
        </w:rPr>
        <w:t xml:space="preserve"> may, as well, be able to erect diffusion firewalls in the region to minimize the impact of political shocks. </w:t>
      </w:r>
      <w:r>
        <w:rPr>
          <w:rFonts w:ascii="Times New Roman" w:hAnsi="Times New Roman" w:cs="Times New Roman"/>
          <w:sz w:val="24"/>
          <w:szCs w:val="24"/>
        </w:rPr>
        <w:t>While major power hierarchies have stronger pacifying effects than regional power hierarchies, the latter type nevertheless has a significant impact on ordering relationships in the region.</w:t>
      </w:r>
    </w:p>
    <w:p w14:paraId="49714AC8" w14:textId="43EA6433" w:rsidR="006B4445" w:rsidRDefault="006B4445" w:rsidP="003614A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If this is likely to be the case for the Middle East as well, then the question that needs exploring </w:t>
      </w:r>
      <w:r w:rsidR="00A61765">
        <w:rPr>
          <w:rFonts w:ascii="Times New Roman" w:hAnsi="Times New Roman" w:cs="Times New Roman"/>
          <w:sz w:val="24"/>
          <w:szCs w:val="24"/>
        </w:rPr>
        <w:t>is what</w:t>
      </w:r>
      <w:r>
        <w:rPr>
          <w:rFonts w:ascii="Times New Roman" w:hAnsi="Times New Roman" w:cs="Times New Roman"/>
          <w:sz w:val="24"/>
          <w:szCs w:val="24"/>
        </w:rPr>
        <w:t xml:space="preserve"> would </w:t>
      </w:r>
      <w:r w:rsidR="00A61765">
        <w:rPr>
          <w:rFonts w:ascii="Times New Roman" w:hAnsi="Times New Roman" w:cs="Times New Roman"/>
          <w:sz w:val="24"/>
          <w:szCs w:val="24"/>
        </w:rPr>
        <w:t xml:space="preserve">it </w:t>
      </w:r>
      <w:r>
        <w:rPr>
          <w:rFonts w:ascii="Times New Roman" w:hAnsi="Times New Roman" w:cs="Times New Roman"/>
          <w:sz w:val="24"/>
          <w:szCs w:val="24"/>
        </w:rPr>
        <w:t xml:space="preserve">take to have such a regional power emerge in the Middle East? That is clearly beyond the scope of this project, but it may be a vital question to answer if </w:t>
      </w:r>
      <w:r w:rsidR="001D34DD">
        <w:rPr>
          <w:rFonts w:ascii="Times New Roman" w:hAnsi="Times New Roman" w:cs="Times New Roman"/>
          <w:sz w:val="24"/>
          <w:szCs w:val="24"/>
        </w:rPr>
        <w:t>there is some hope that the region may become substantially more peaceful in the future.</w:t>
      </w:r>
      <w:r>
        <w:rPr>
          <w:rFonts w:ascii="Times New Roman" w:hAnsi="Times New Roman" w:cs="Times New Roman"/>
          <w:sz w:val="24"/>
          <w:szCs w:val="24"/>
        </w:rPr>
        <w:t xml:space="preserve"> </w:t>
      </w:r>
      <w:r w:rsidR="001D34DD">
        <w:rPr>
          <w:rFonts w:ascii="Times New Roman" w:hAnsi="Times New Roman" w:cs="Times New Roman"/>
          <w:sz w:val="24"/>
          <w:szCs w:val="24"/>
        </w:rPr>
        <w:t xml:space="preserve">However, </w:t>
      </w:r>
      <w:r w:rsidR="008000D8">
        <w:rPr>
          <w:rFonts w:ascii="Times New Roman" w:hAnsi="Times New Roman" w:cs="Times New Roman"/>
          <w:sz w:val="24"/>
          <w:szCs w:val="24"/>
        </w:rPr>
        <w:t xml:space="preserve">we would </w:t>
      </w:r>
      <w:r w:rsidR="008000D8">
        <w:rPr>
          <w:rFonts w:ascii="Times New Roman" w:hAnsi="Times New Roman" w:cs="Times New Roman"/>
          <w:sz w:val="24"/>
          <w:szCs w:val="24"/>
        </w:rPr>
        <w:lastRenderedPageBreak/>
        <w:t>not make that prediction for the near future:</w:t>
      </w:r>
      <w:r w:rsidR="001D34DD">
        <w:rPr>
          <w:rFonts w:ascii="Times New Roman" w:hAnsi="Times New Roman" w:cs="Times New Roman"/>
          <w:sz w:val="24"/>
          <w:szCs w:val="24"/>
        </w:rPr>
        <w:t xml:space="preserve"> i</w:t>
      </w:r>
      <w:r>
        <w:rPr>
          <w:rFonts w:ascii="Times New Roman" w:hAnsi="Times New Roman" w:cs="Times New Roman"/>
          <w:sz w:val="24"/>
          <w:szCs w:val="24"/>
        </w:rPr>
        <w:t xml:space="preserve">t is plausible that given the still-remaining very substantial rivalry density field, </w:t>
      </w:r>
      <w:r w:rsidR="001D34DD">
        <w:rPr>
          <w:rFonts w:ascii="Times New Roman" w:hAnsi="Times New Roman" w:cs="Times New Roman"/>
          <w:sz w:val="24"/>
          <w:szCs w:val="24"/>
        </w:rPr>
        <w:t xml:space="preserve">the sheer weight of rivalries in the region may mean that too many of the key regional actors will strongly oppose the emergence of any one of them as a regional </w:t>
      </w:r>
      <w:r>
        <w:rPr>
          <w:rFonts w:ascii="Times New Roman" w:hAnsi="Times New Roman" w:cs="Times New Roman"/>
          <w:sz w:val="24"/>
          <w:szCs w:val="24"/>
        </w:rPr>
        <w:t xml:space="preserve">power. </w:t>
      </w:r>
      <w:r w:rsidR="0049361D">
        <w:rPr>
          <w:rFonts w:ascii="Times New Roman" w:hAnsi="Times New Roman" w:cs="Times New Roman"/>
          <w:sz w:val="24"/>
          <w:szCs w:val="24"/>
        </w:rPr>
        <w:t xml:space="preserve">Additionally, efforts by outside powers to balance regional power contenders against one another (e.g., Iraq versus Iran or Iran versus Saudi Arabia) have </w:t>
      </w:r>
      <w:r w:rsidR="001D34DD">
        <w:rPr>
          <w:rFonts w:ascii="Times New Roman" w:hAnsi="Times New Roman" w:cs="Times New Roman"/>
          <w:sz w:val="24"/>
          <w:szCs w:val="24"/>
        </w:rPr>
        <w:t xml:space="preserve">also </w:t>
      </w:r>
      <w:r w:rsidR="0049361D">
        <w:rPr>
          <w:rFonts w:ascii="Times New Roman" w:hAnsi="Times New Roman" w:cs="Times New Roman"/>
          <w:sz w:val="24"/>
          <w:szCs w:val="24"/>
        </w:rPr>
        <w:t>lessened the prospects of a regional power emerging.</w:t>
      </w:r>
      <w:r w:rsidR="001D34DD">
        <w:rPr>
          <w:rStyle w:val="FootnoteReference"/>
          <w:rFonts w:ascii="Times New Roman" w:hAnsi="Times New Roman" w:cs="Times New Roman"/>
          <w:sz w:val="24"/>
          <w:szCs w:val="24"/>
        </w:rPr>
        <w:footnoteReference w:id="27"/>
      </w:r>
      <w:r w:rsidR="008000D8">
        <w:rPr>
          <w:rFonts w:ascii="Times New Roman" w:hAnsi="Times New Roman" w:cs="Times New Roman"/>
          <w:sz w:val="24"/>
          <w:szCs w:val="24"/>
        </w:rPr>
        <w:t xml:space="preserve"> Given all of that, we see little </w:t>
      </w:r>
      <w:r w:rsidR="009103E0">
        <w:rPr>
          <w:rFonts w:ascii="Times New Roman" w:hAnsi="Times New Roman" w:cs="Times New Roman"/>
          <w:sz w:val="24"/>
          <w:szCs w:val="24"/>
        </w:rPr>
        <w:t>o</w:t>
      </w:r>
      <w:r w:rsidR="008000D8">
        <w:rPr>
          <w:rFonts w:ascii="Times New Roman" w:hAnsi="Times New Roman" w:cs="Times New Roman"/>
          <w:sz w:val="24"/>
          <w:szCs w:val="24"/>
        </w:rPr>
        <w:t xml:space="preserve">n the horizon </w:t>
      </w:r>
      <w:r w:rsidR="009103E0">
        <w:rPr>
          <w:rFonts w:ascii="Times New Roman" w:hAnsi="Times New Roman" w:cs="Times New Roman"/>
          <w:sz w:val="24"/>
          <w:szCs w:val="24"/>
        </w:rPr>
        <w:t>inspiring hope</w:t>
      </w:r>
      <w:r w:rsidR="008000D8">
        <w:rPr>
          <w:rFonts w:ascii="Times New Roman" w:hAnsi="Times New Roman" w:cs="Times New Roman"/>
          <w:sz w:val="24"/>
          <w:szCs w:val="24"/>
        </w:rPr>
        <w:t xml:space="preserve"> for a substantially more peaceful Middle East.</w:t>
      </w:r>
    </w:p>
    <w:p w14:paraId="242BA263" w14:textId="182D9D2B" w:rsidR="00B04F1B" w:rsidRPr="003B5B6C" w:rsidRDefault="005D364D" w:rsidP="00A61765">
      <w:pPr>
        <w:rPr>
          <w:rFonts w:ascii="Times New Roman" w:hAnsi="Times New Roman" w:cs="Times New Roman"/>
          <w:b/>
          <w:sz w:val="24"/>
          <w:szCs w:val="24"/>
        </w:rPr>
      </w:pPr>
      <w:r w:rsidRPr="003B5B6C">
        <w:rPr>
          <w:rFonts w:ascii="Times New Roman" w:hAnsi="Times New Roman" w:cs="Times New Roman"/>
          <w:b/>
          <w:sz w:val="24"/>
          <w:szCs w:val="24"/>
        </w:rPr>
        <w:t>References</w:t>
      </w:r>
    </w:p>
    <w:p w14:paraId="39016CBC" w14:textId="5588F691" w:rsidR="005A15AB" w:rsidRDefault="005A15AB" w:rsidP="005A15AB">
      <w:pPr>
        <w:spacing w:line="240" w:lineRule="auto"/>
        <w:rPr>
          <w:rFonts w:ascii="Times New Roman" w:hAnsi="Times New Roman" w:cs="Times New Roman"/>
          <w:sz w:val="24"/>
          <w:szCs w:val="24"/>
        </w:rPr>
      </w:pPr>
      <w:r>
        <w:rPr>
          <w:rFonts w:ascii="Times New Roman" w:hAnsi="Times New Roman" w:cs="Times New Roman"/>
          <w:sz w:val="24"/>
          <w:szCs w:val="24"/>
        </w:rPr>
        <w:t xml:space="preserve">Bially Mattern, Janice, and Ayse Zarakol. 2016. “Hierarchies in World Politics.” </w:t>
      </w:r>
      <w:r w:rsidRPr="003A36CE">
        <w:rPr>
          <w:rFonts w:ascii="Times New Roman" w:hAnsi="Times New Roman" w:cs="Times New Roman"/>
          <w:i/>
          <w:sz w:val="24"/>
          <w:szCs w:val="24"/>
        </w:rPr>
        <w:t xml:space="preserve">International </w:t>
      </w:r>
      <w:r>
        <w:rPr>
          <w:rFonts w:ascii="Times New Roman" w:hAnsi="Times New Roman" w:cs="Times New Roman"/>
          <w:i/>
          <w:sz w:val="24"/>
          <w:szCs w:val="24"/>
        </w:rPr>
        <w:tab/>
      </w:r>
      <w:r w:rsidRPr="003A36CE">
        <w:rPr>
          <w:rFonts w:ascii="Times New Roman" w:hAnsi="Times New Roman" w:cs="Times New Roman"/>
          <w:i/>
          <w:sz w:val="24"/>
          <w:szCs w:val="24"/>
        </w:rPr>
        <w:t xml:space="preserve">Organization </w:t>
      </w:r>
      <w:r>
        <w:rPr>
          <w:rFonts w:ascii="Times New Roman" w:hAnsi="Times New Roman" w:cs="Times New Roman"/>
          <w:sz w:val="24"/>
          <w:szCs w:val="24"/>
        </w:rPr>
        <w:t>70, 3: 623-654.</w:t>
      </w:r>
    </w:p>
    <w:p w14:paraId="21690334" w14:textId="44434E8C" w:rsidR="00991C58" w:rsidRDefault="00991C58" w:rsidP="00991C58">
      <w:pPr>
        <w:pStyle w:val="NormalWeb"/>
        <w:ind w:left="480" w:hanging="480"/>
      </w:pPr>
      <w:r>
        <w:t xml:space="preserve">Braithwaite, Alex. 2006. “The Geographic Spread of Militarized Disputes.” </w:t>
      </w:r>
      <w:r>
        <w:rPr>
          <w:i/>
          <w:iCs/>
        </w:rPr>
        <w:t>Journal of Peace Research</w:t>
      </w:r>
      <w:r>
        <w:t xml:space="preserve">, </w:t>
      </w:r>
      <w:r w:rsidRPr="000548F9">
        <w:rPr>
          <w:iCs/>
        </w:rPr>
        <w:t>43</w:t>
      </w:r>
      <w:r>
        <w:t>, 5: 507–522.</w:t>
      </w:r>
    </w:p>
    <w:p w14:paraId="06B527B1" w14:textId="77777777" w:rsidR="005A15AB" w:rsidRDefault="005A15AB" w:rsidP="005A15AB">
      <w:pPr>
        <w:spacing w:line="240" w:lineRule="auto"/>
        <w:rPr>
          <w:rFonts w:ascii="Times New Roman" w:hAnsi="Times New Roman" w:cs="Times New Roman"/>
          <w:sz w:val="24"/>
          <w:szCs w:val="24"/>
        </w:rPr>
      </w:pPr>
      <w:r>
        <w:rPr>
          <w:rFonts w:ascii="Times New Roman" w:hAnsi="Times New Roman" w:cs="Times New Roman"/>
          <w:sz w:val="24"/>
          <w:szCs w:val="24"/>
        </w:rPr>
        <w:t xml:space="preserve">Butt, Ahsan, I. 2013. “Anarchy and Hierarchy in International Relations: Examining South </w:t>
      </w:r>
      <w:r>
        <w:rPr>
          <w:rFonts w:ascii="Times New Roman" w:hAnsi="Times New Roman" w:cs="Times New Roman"/>
          <w:sz w:val="24"/>
          <w:szCs w:val="24"/>
        </w:rPr>
        <w:tab/>
        <w:t xml:space="preserve">America’s War-Prone Decade, 1932-41.” </w:t>
      </w:r>
      <w:r w:rsidRPr="00F501A9">
        <w:rPr>
          <w:rFonts w:ascii="Times New Roman" w:hAnsi="Times New Roman" w:cs="Times New Roman"/>
          <w:i/>
          <w:sz w:val="24"/>
          <w:szCs w:val="24"/>
        </w:rPr>
        <w:t>International Organization</w:t>
      </w:r>
      <w:r>
        <w:rPr>
          <w:rFonts w:ascii="Times New Roman" w:hAnsi="Times New Roman" w:cs="Times New Roman"/>
          <w:sz w:val="24"/>
          <w:szCs w:val="24"/>
        </w:rPr>
        <w:t xml:space="preserve"> 67, 3: 575-607.</w:t>
      </w:r>
    </w:p>
    <w:p w14:paraId="6EC05809" w14:textId="020EA466" w:rsidR="00757293" w:rsidRDefault="00757293" w:rsidP="00757293">
      <w:pPr>
        <w:rPr>
          <w:rFonts w:ascii="Times New Roman" w:hAnsi="Times New Roman" w:cs="Times New Roman"/>
          <w:sz w:val="24"/>
          <w:szCs w:val="24"/>
        </w:rPr>
      </w:pPr>
      <w:r w:rsidRPr="00757293">
        <w:rPr>
          <w:rFonts w:ascii="Times New Roman" w:hAnsi="Times New Roman" w:cs="Times New Roman"/>
          <w:sz w:val="24"/>
          <w:szCs w:val="24"/>
        </w:rPr>
        <w:t xml:space="preserve">Cline, Kirssa, Patrick Rhamey, Alexis Henshaw, Alesia Sedziaka, Aakriti Tandon, and Thomas </w:t>
      </w:r>
      <w:r>
        <w:rPr>
          <w:rFonts w:ascii="Times New Roman" w:hAnsi="Times New Roman" w:cs="Times New Roman"/>
          <w:sz w:val="24"/>
          <w:szCs w:val="24"/>
        </w:rPr>
        <w:tab/>
      </w:r>
      <w:r w:rsidRPr="00757293">
        <w:rPr>
          <w:rFonts w:ascii="Times New Roman" w:hAnsi="Times New Roman" w:cs="Times New Roman"/>
          <w:sz w:val="24"/>
          <w:szCs w:val="24"/>
        </w:rPr>
        <w:t xml:space="preserve">J. Volgy. 2011. “Identifying Regional Powers and Their Status.” In Volgy, Corbetta, </w:t>
      </w:r>
      <w:r>
        <w:rPr>
          <w:rFonts w:ascii="Times New Roman" w:hAnsi="Times New Roman" w:cs="Times New Roman"/>
          <w:sz w:val="24"/>
          <w:szCs w:val="24"/>
        </w:rPr>
        <w:tab/>
      </w:r>
      <w:r w:rsidRPr="00757293">
        <w:rPr>
          <w:rFonts w:ascii="Times New Roman" w:hAnsi="Times New Roman" w:cs="Times New Roman"/>
          <w:sz w:val="24"/>
          <w:szCs w:val="24"/>
        </w:rPr>
        <w:t xml:space="preserve">Grant, and Baird (eds.), Major Powers and the Quest for Status in International Politics. </w:t>
      </w:r>
      <w:r>
        <w:rPr>
          <w:rFonts w:ascii="Times New Roman" w:hAnsi="Times New Roman" w:cs="Times New Roman"/>
          <w:sz w:val="24"/>
          <w:szCs w:val="24"/>
        </w:rPr>
        <w:tab/>
      </w:r>
      <w:r w:rsidRPr="00757293">
        <w:rPr>
          <w:rFonts w:ascii="Times New Roman" w:hAnsi="Times New Roman" w:cs="Times New Roman"/>
          <w:sz w:val="24"/>
          <w:szCs w:val="24"/>
        </w:rPr>
        <w:t>New York: Palgrave MacMillan.</w:t>
      </w:r>
    </w:p>
    <w:p w14:paraId="06C59B53" w14:textId="575FACB9" w:rsidR="008634C6" w:rsidRDefault="008634C6" w:rsidP="00757293">
      <w:pPr>
        <w:rPr>
          <w:rFonts w:ascii="Times New Roman" w:hAnsi="Times New Roman" w:cs="Times New Roman"/>
          <w:sz w:val="24"/>
          <w:szCs w:val="24"/>
        </w:rPr>
      </w:pPr>
      <w:r>
        <w:rPr>
          <w:rFonts w:ascii="Times New Roman" w:hAnsi="Times New Roman" w:cs="Times New Roman"/>
          <w:sz w:val="24"/>
          <w:szCs w:val="24"/>
        </w:rPr>
        <w:t xml:space="preserve">Gao, </w:t>
      </w:r>
      <w:r w:rsidR="009A3BD8">
        <w:rPr>
          <w:rFonts w:ascii="Times New Roman" w:hAnsi="Times New Roman" w:cs="Times New Roman"/>
          <w:sz w:val="24"/>
          <w:szCs w:val="24"/>
        </w:rPr>
        <w:t xml:space="preserve">Shuqin. 2017. “China and Global Energy Governance: Integration or Confrontation?” </w:t>
      </w:r>
      <w:r w:rsidR="009A3BD8">
        <w:rPr>
          <w:rFonts w:ascii="Times New Roman" w:hAnsi="Times New Roman" w:cs="Times New Roman"/>
          <w:sz w:val="24"/>
          <w:szCs w:val="24"/>
        </w:rPr>
        <w:tab/>
        <w:t>Global Governance 23, 3: 307-325</w:t>
      </w:r>
    </w:p>
    <w:p w14:paraId="28B789BB" w14:textId="02546A1B" w:rsidR="008634C6" w:rsidRPr="00757293" w:rsidRDefault="008634C6" w:rsidP="009A3BD8">
      <w:pPr>
        <w:ind w:right="-180"/>
        <w:rPr>
          <w:rFonts w:ascii="Times New Roman" w:hAnsi="Times New Roman" w:cs="Times New Roman"/>
          <w:sz w:val="24"/>
          <w:szCs w:val="24"/>
        </w:rPr>
      </w:pPr>
      <w:r>
        <w:rPr>
          <w:rFonts w:ascii="Times New Roman" w:hAnsi="Times New Roman" w:cs="Times New Roman"/>
          <w:sz w:val="24"/>
          <w:szCs w:val="24"/>
        </w:rPr>
        <w:t xml:space="preserve">Gartzke, Eric. 2007. “The Capitalist Peace.” </w:t>
      </w:r>
      <w:r w:rsidRPr="008634C6">
        <w:rPr>
          <w:rFonts w:ascii="Times New Roman" w:hAnsi="Times New Roman" w:cs="Times New Roman"/>
          <w:i/>
          <w:sz w:val="24"/>
          <w:szCs w:val="24"/>
        </w:rPr>
        <w:t>American Journal of Political Science</w:t>
      </w:r>
      <w:r>
        <w:rPr>
          <w:rFonts w:ascii="Times New Roman" w:hAnsi="Times New Roman" w:cs="Times New Roman"/>
          <w:sz w:val="24"/>
          <w:szCs w:val="24"/>
        </w:rPr>
        <w:t xml:space="preserve"> 51, 1: 166-191.</w:t>
      </w:r>
    </w:p>
    <w:p w14:paraId="63FE4DF3" w14:textId="77777777" w:rsidR="005A15AB" w:rsidRDefault="005A15AB" w:rsidP="005A15AB">
      <w:pPr>
        <w:spacing w:line="240" w:lineRule="auto"/>
        <w:ind w:left="360" w:right="-450" w:hanging="360"/>
        <w:rPr>
          <w:rFonts w:ascii="Times New Roman" w:hAnsi="Times New Roman" w:cs="Times New Roman"/>
          <w:sz w:val="24"/>
          <w:szCs w:val="24"/>
        </w:rPr>
      </w:pPr>
      <w:r>
        <w:rPr>
          <w:rFonts w:ascii="Times New Roman" w:hAnsi="Times New Roman" w:cs="Times New Roman"/>
          <w:sz w:val="24"/>
          <w:szCs w:val="24"/>
        </w:rPr>
        <w:t xml:space="preserve">Gilber, Douglas M. 2012. </w:t>
      </w:r>
      <w:r w:rsidRPr="00AD18E9">
        <w:rPr>
          <w:rFonts w:ascii="Times New Roman" w:hAnsi="Times New Roman" w:cs="Times New Roman"/>
          <w:i/>
          <w:sz w:val="24"/>
          <w:szCs w:val="24"/>
        </w:rPr>
        <w:t>The Territorial Peace: Borders, State Development, and International Conflict</w:t>
      </w:r>
      <w:r>
        <w:rPr>
          <w:rFonts w:ascii="Times New Roman" w:hAnsi="Times New Roman" w:cs="Times New Roman"/>
          <w:sz w:val="24"/>
          <w:szCs w:val="24"/>
        </w:rPr>
        <w:t>. New York: Cambridge University Press.</w:t>
      </w:r>
    </w:p>
    <w:p w14:paraId="2E0146B5" w14:textId="2954E509" w:rsidR="005A15AB" w:rsidRDefault="005A15AB" w:rsidP="005A15AB">
      <w:pPr>
        <w:spacing w:line="240" w:lineRule="auto"/>
        <w:ind w:left="360" w:right="-450" w:hanging="360"/>
        <w:rPr>
          <w:rFonts w:ascii="Times New Roman" w:hAnsi="Times New Roman" w:cs="Times New Roman"/>
          <w:sz w:val="24"/>
          <w:szCs w:val="24"/>
        </w:rPr>
      </w:pPr>
      <w:r>
        <w:rPr>
          <w:rFonts w:ascii="Times New Roman" w:hAnsi="Times New Roman" w:cs="Times New Roman"/>
          <w:sz w:val="24"/>
          <w:szCs w:val="24"/>
        </w:rPr>
        <w:t>Gleditsch, Kristian Skrede, Idean Salehyan, and Kenneth Schultz. 2008. “Fighting at Home, Fighting Abroad: How Civil Wars Lead to International Disputes.” Journal of Conflict Resolution 52, 4: 479-506.</w:t>
      </w:r>
    </w:p>
    <w:p w14:paraId="38E348C3" w14:textId="71338C4C" w:rsidR="00DA0300" w:rsidRDefault="00DA0300" w:rsidP="005A15AB">
      <w:pPr>
        <w:spacing w:line="240" w:lineRule="auto"/>
        <w:ind w:left="360" w:right="-450" w:hanging="360"/>
        <w:rPr>
          <w:rFonts w:ascii="Times New Roman" w:hAnsi="Times New Roman" w:cs="Times New Roman"/>
          <w:sz w:val="24"/>
          <w:szCs w:val="24"/>
        </w:rPr>
      </w:pPr>
      <w:r>
        <w:rPr>
          <w:rFonts w:ascii="Times New Roman" w:hAnsi="Times New Roman" w:cs="Times New Roman"/>
          <w:sz w:val="24"/>
          <w:szCs w:val="24"/>
        </w:rPr>
        <w:t>Gordell, Kelly M. 2017. “What Does the Literature Teach Us About Political Shocks?” Unpublished manuscript.</w:t>
      </w:r>
    </w:p>
    <w:p w14:paraId="02026905" w14:textId="77777777" w:rsidR="005A15AB" w:rsidRPr="007E0DB9" w:rsidRDefault="005A15AB" w:rsidP="005A15AB">
      <w:pPr>
        <w:spacing w:line="240" w:lineRule="auto"/>
        <w:ind w:left="360" w:right="-450" w:hanging="360"/>
        <w:rPr>
          <w:rFonts w:ascii="Times New Roman" w:hAnsi="Times New Roman" w:cs="Times New Roman"/>
          <w:sz w:val="24"/>
          <w:szCs w:val="24"/>
        </w:rPr>
      </w:pPr>
      <w:r>
        <w:rPr>
          <w:rFonts w:ascii="Times New Roman" w:hAnsi="Times New Roman" w:cs="Times New Roman"/>
          <w:sz w:val="24"/>
          <w:szCs w:val="24"/>
        </w:rPr>
        <w:lastRenderedPageBreak/>
        <w:t xml:space="preserve">Hegre, Havard. 2014. “Democracy and Armed Conflict.” </w:t>
      </w:r>
      <w:r w:rsidRPr="0082185F">
        <w:rPr>
          <w:rFonts w:ascii="Times New Roman" w:hAnsi="Times New Roman" w:cs="Times New Roman"/>
          <w:i/>
          <w:sz w:val="24"/>
          <w:szCs w:val="24"/>
        </w:rPr>
        <w:t>Journal of Peace Research</w:t>
      </w:r>
      <w:r>
        <w:rPr>
          <w:rFonts w:ascii="Times New Roman" w:hAnsi="Times New Roman" w:cs="Times New Roman"/>
          <w:sz w:val="24"/>
          <w:szCs w:val="24"/>
        </w:rPr>
        <w:t xml:space="preserve"> 51, 2: 159-172.</w:t>
      </w:r>
    </w:p>
    <w:p w14:paraId="3183A16F" w14:textId="77777777" w:rsidR="005A15AB" w:rsidRDefault="005A15AB" w:rsidP="005A15AB">
      <w:pPr>
        <w:spacing w:line="240" w:lineRule="auto"/>
        <w:ind w:left="360" w:right="-450" w:hanging="360"/>
        <w:rPr>
          <w:rFonts w:ascii="Times New Roman" w:hAnsi="Times New Roman" w:cs="Times New Roman"/>
          <w:sz w:val="24"/>
          <w:szCs w:val="24"/>
        </w:rPr>
      </w:pPr>
      <w:r>
        <w:rPr>
          <w:rFonts w:ascii="Times New Roman" w:hAnsi="Times New Roman" w:cs="Times New Roman"/>
          <w:sz w:val="24"/>
          <w:szCs w:val="24"/>
        </w:rPr>
        <w:t xml:space="preserve">Hegre Havard, John R. Oneal, and Bruce Russett. 2010. “Trade Does Promote Peace: Simultaneous Estimates of the Reciprocal Effects of Trade and Conflict.” </w:t>
      </w:r>
      <w:r w:rsidRPr="00F07BE5">
        <w:rPr>
          <w:rFonts w:ascii="Times New Roman" w:hAnsi="Times New Roman" w:cs="Times New Roman"/>
          <w:i/>
          <w:sz w:val="24"/>
          <w:szCs w:val="24"/>
        </w:rPr>
        <w:t>Journal of Peace Research</w:t>
      </w:r>
      <w:r>
        <w:rPr>
          <w:rFonts w:ascii="Times New Roman" w:hAnsi="Times New Roman" w:cs="Times New Roman"/>
          <w:sz w:val="24"/>
          <w:szCs w:val="24"/>
        </w:rPr>
        <w:t xml:space="preserve"> 47, 6: 763-774.</w:t>
      </w:r>
    </w:p>
    <w:p w14:paraId="21D4F725" w14:textId="77777777" w:rsidR="005A15AB" w:rsidRPr="00FD3360" w:rsidRDefault="005A15AB" w:rsidP="005A15AB">
      <w:pPr>
        <w:spacing w:before="120" w:after="120" w:line="240" w:lineRule="auto"/>
        <w:ind w:left="360" w:hanging="360"/>
        <w:rPr>
          <w:rFonts w:ascii="Times New Roman" w:eastAsia="Times New Roman" w:hAnsi="Times New Roman" w:cs="Times New Roman"/>
          <w:sz w:val="24"/>
          <w:szCs w:val="24"/>
        </w:rPr>
      </w:pPr>
      <w:r w:rsidRPr="00FD3360">
        <w:rPr>
          <w:rFonts w:ascii="Times New Roman" w:eastAsia="Times New Roman" w:hAnsi="Times New Roman" w:cs="Times New Roman"/>
          <w:sz w:val="24"/>
          <w:szCs w:val="24"/>
        </w:rPr>
        <w:t xml:space="preserve">Katzenstein, Peter J. 2005. </w:t>
      </w:r>
      <w:r w:rsidRPr="00FD3360">
        <w:rPr>
          <w:rFonts w:ascii="Times New Roman" w:eastAsia="Times New Roman" w:hAnsi="Times New Roman" w:cs="Times New Roman"/>
          <w:i/>
          <w:sz w:val="24"/>
          <w:szCs w:val="24"/>
        </w:rPr>
        <w:t>A World of Regions</w:t>
      </w:r>
      <w:r w:rsidRPr="00FD3360">
        <w:rPr>
          <w:rFonts w:ascii="Times New Roman" w:eastAsia="Times New Roman" w:hAnsi="Times New Roman" w:cs="Times New Roman"/>
          <w:sz w:val="24"/>
          <w:szCs w:val="24"/>
        </w:rPr>
        <w:t>. Ithaca, New York: Cornell University Press.</w:t>
      </w:r>
    </w:p>
    <w:p w14:paraId="021A0C6E" w14:textId="2A108F0C" w:rsidR="005A15AB" w:rsidRDefault="005A15AB" w:rsidP="005A15AB">
      <w:pPr>
        <w:ind w:left="360" w:hanging="360"/>
        <w:rPr>
          <w:rFonts w:ascii="Times New Roman" w:hAnsi="Times New Roman" w:cs="Times New Roman"/>
          <w:sz w:val="24"/>
          <w:szCs w:val="24"/>
        </w:rPr>
      </w:pPr>
      <w:r w:rsidRPr="002D6781">
        <w:rPr>
          <w:rFonts w:ascii="Times New Roman" w:hAnsi="Times New Roman" w:cs="Times New Roman"/>
          <w:sz w:val="24"/>
          <w:szCs w:val="24"/>
        </w:rPr>
        <w:t xml:space="preserve">Lake, David A. 2011. </w:t>
      </w:r>
      <w:r w:rsidRPr="002D6781">
        <w:rPr>
          <w:rFonts w:ascii="Times New Roman" w:hAnsi="Times New Roman" w:cs="Times New Roman"/>
          <w:i/>
          <w:sz w:val="24"/>
          <w:szCs w:val="24"/>
        </w:rPr>
        <w:t>Hierarchy in International Relations</w:t>
      </w:r>
      <w:r w:rsidRPr="002D6781">
        <w:rPr>
          <w:rFonts w:ascii="Times New Roman" w:hAnsi="Times New Roman" w:cs="Times New Roman"/>
          <w:sz w:val="24"/>
          <w:szCs w:val="24"/>
        </w:rPr>
        <w:t>. Ithaca: Cornell University Press.</w:t>
      </w:r>
    </w:p>
    <w:p w14:paraId="584C7F59" w14:textId="39ABD608" w:rsidR="00C43812" w:rsidRDefault="00C43812" w:rsidP="005A15AB">
      <w:pPr>
        <w:ind w:left="360" w:hanging="360"/>
        <w:rPr>
          <w:rFonts w:ascii="Times New Roman" w:hAnsi="Times New Roman" w:cs="Times New Roman"/>
          <w:sz w:val="24"/>
          <w:szCs w:val="24"/>
        </w:rPr>
      </w:pPr>
      <w:r>
        <w:rPr>
          <w:rFonts w:ascii="Times New Roman" w:hAnsi="Times New Roman" w:cs="Times New Roman"/>
          <w:sz w:val="24"/>
          <w:szCs w:val="24"/>
        </w:rPr>
        <w:t xml:space="preserve">Leithner, Anika C. and Kyle M. Libby. 2017. “Path Dependency in Foreign Policy.” In William R. Thompson (ed.), </w:t>
      </w:r>
      <w:r w:rsidRPr="00C43812">
        <w:rPr>
          <w:rFonts w:ascii="Times New Roman" w:hAnsi="Times New Roman" w:cs="Times New Roman"/>
          <w:i/>
          <w:sz w:val="24"/>
          <w:szCs w:val="24"/>
        </w:rPr>
        <w:t>Oxford Research Encyclopedia of Politics</w:t>
      </w:r>
      <w:r>
        <w:rPr>
          <w:rFonts w:ascii="Times New Roman" w:hAnsi="Times New Roman" w:cs="Times New Roman"/>
          <w:sz w:val="24"/>
          <w:szCs w:val="24"/>
        </w:rPr>
        <w:t>. Oxford: Oxford University Press.</w:t>
      </w:r>
    </w:p>
    <w:p w14:paraId="103EB35F" w14:textId="5AF9F5D0" w:rsidR="0025609D" w:rsidRDefault="0025609D" w:rsidP="005A15AB">
      <w:pPr>
        <w:ind w:left="360" w:hanging="360"/>
        <w:rPr>
          <w:rFonts w:ascii="Times New Roman" w:hAnsi="Times New Roman" w:cs="Times New Roman"/>
          <w:sz w:val="24"/>
          <w:szCs w:val="24"/>
        </w:rPr>
      </w:pPr>
      <w:r>
        <w:rPr>
          <w:rFonts w:ascii="Times New Roman" w:hAnsi="Times New Roman" w:cs="Times New Roman"/>
          <w:sz w:val="24"/>
          <w:szCs w:val="24"/>
        </w:rPr>
        <w:t>Maoz, Zeev, and Kyle A. Joyce. 2016. “</w:t>
      </w:r>
      <w:r w:rsidR="00C40636">
        <w:rPr>
          <w:rFonts w:ascii="Times New Roman" w:hAnsi="Times New Roman" w:cs="Times New Roman"/>
          <w:sz w:val="24"/>
          <w:szCs w:val="24"/>
        </w:rPr>
        <w:t xml:space="preserve">The Effects of Shocks on International Networks: Changes in the Attributes of States and the Structure of International Alliance Networks.” </w:t>
      </w:r>
      <w:r w:rsidR="00C40636" w:rsidRPr="00C40636">
        <w:rPr>
          <w:rFonts w:ascii="Times New Roman" w:hAnsi="Times New Roman" w:cs="Times New Roman"/>
          <w:i/>
          <w:sz w:val="24"/>
          <w:szCs w:val="24"/>
        </w:rPr>
        <w:t>Journal of Peace Research</w:t>
      </w:r>
      <w:r w:rsidR="00C40636">
        <w:rPr>
          <w:rFonts w:ascii="Times New Roman" w:hAnsi="Times New Roman" w:cs="Times New Roman"/>
          <w:sz w:val="24"/>
          <w:szCs w:val="24"/>
        </w:rPr>
        <w:t>, 53,3:292-309.</w:t>
      </w:r>
    </w:p>
    <w:p w14:paraId="0A19AD0D" w14:textId="2BCB9333" w:rsidR="00DA0300" w:rsidRPr="002D6781" w:rsidRDefault="00DA0300" w:rsidP="005A15AB">
      <w:pPr>
        <w:ind w:left="360" w:hanging="360"/>
        <w:rPr>
          <w:rFonts w:ascii="Times New Roman" w:hAnsi="Times New Roman" w:cs="Times New Roman"/>
          <w:sz w:val="24"/>
          <w:szCs w:val="24"/>
        </w:rPr>
      </w:pPr>
      <w:r>
        <w:rPr>
          <w:rFonts w:ascii="Times New Roman" w:hAnsi="Times New Roman" w:cs="Times New Roman"/>
          <w:sz w:val="24"/>
          <w:szCs w:val="24"/>
        </w:rPr>
        <w:t>Milner, Helen V. 199</w:t>
      </w:r>
      <w:r w:rsidR="00591541">
        <w:rPr>
          <w:rFonts w:ascii="Times New Roman" w:hAnsi="Times New Roman" w:cs="Times New Roman"/>
          <w:sz w:val="24"/>
          <w:szCs w:val="24"/>
        </w:rPr>
        <w:t>1</w:t>
      </w:r>
      <w:r>
        <w:rPr>
          <w:rFonts w:ascii="Times New Roman" w:hAnsi="Times New Roman" w:cs="Times New Roman"/>
          <w:sz w:val="24"/>
          <w:szCs w:val="24"/>
        </w:rPr>
        <w:t xml:space="preserve">. “The Assumption of Anarchy in International Relations: A Critique.” </w:t>
      </w:r>
      <w:r w:rsidRPr="00DA0300">
        <w:rPr>
          <w:rFonts w:ascii="Times New Roman" w:hAnsi="Times New Roman" w:cs="Times New Roman"/>
          <w:i/>
          <w:sz w:val="24"/>
          <w:szCs w:val="24"/>
        </w:rPr>
        <w:t>Review of International Studies</w:t>
      </w:r>
      <w:r>
        <w:rPr>
          <w:rFonts w:ascii="Times New Roman" w:hAnsi="Times New Roman" w:cs="Times New Roman"/>
          <w:sz w:val="24"/>
          <w:szCs w:val="24"/>
        </w:rPr>
        <w:t xml:space="preserve"> 17, 1: 67-85.</w:t>
      </w:r>
    </w:p>
    <w:p w14:paraId="3C5B7E1A" w14:textId="3F817B35" w:rsidR="005A15AB" w:rsidRDefault="005A15AB" w:rsidP="005A15AB">
      <w:pPr>
        <w:spacing w:line="240" w:lineRule="auto"/>
        <w:ind w:left="360" w:right="-450" w:hanging="360"/>
        <w:rPr>
          <w:rFonts w:ascii="Times New Roman" w:hAnsi="Times New Roman" w:cs="Times New Roman"/>
          <w:sz w:val="24"/>
          <w:szCs w:val="24"/>
        </w:rPr>
      </w:pPr>
      <w:r>
        <w:rPr>
          <w:rFonts w:ascii="Times New Roman" w:hAnsi="Times New Roman" w:cs="Times New Roman"/>
          <w:sz w:val="24"/>
          <w:szCs w:val="24"/>
        </w:rPr>
        <w:t>McDonald, Patrick J. 2015. “Great Powers, Hierarchies and Endogenous Regimes: Rethinking the</w:t>
      </w:r>
      <w:r w:rsidR="005464E8">
        <w:rPr>
          <w:rFonts w:ascii="Times New Roman" w:hAnsi="Times New Roman" w:cs="Times New Roman"/>
          <w:sz w:val="24"/>
          <w:szCs w:val="24"/>
        </w:rPr>
        <w:t xml:space="preserve"> </w:t>
      </w:r>
      <w:r>
        <w:rPr>
          <w:rFonts w:ascii="Times New Roman" w:hAnsi="Times New Roman" w:cs="Times New Roman"/>
          <w:sz w:val="24"/>
          <w:szCs w:val="24"/>
        </w:rPr>
        <w:tab/>
        <w:t xml:space="preserve">Domestic Causes of Peace.” </w:t>
      </w:r>
      <w:r w:rsidRPr="00645178">
        <w:rPr>
          <w:rFonts w:ascii="Times New Roman" w:hAnsi="Times New Roman" w:cs="Times New Roman"/>
          <w:i/>
          <w:sz w:val="24"/>
          <w:szCs w:val="24"/>
        </w:rPr>
        <w:t>International Organization</w:t>
      </w:r>
      <w:r>
        <w:rPr>
          <w:rFonts w:ascii="Times New Roman" w:hAnsi="Times New Roman" w:cs="Times New Roman"/>
          <w:sz w:val="24"/>
          <w:szCs w:val="24"/>
        </w:rPr>
        <w:t xml:space="preserve"> 69 (Summer): 557-588.</w:t>
      </w:r>
    </w:p>
    <w:p w14:paraId="1D8C51A5" w14:textId="4BE328DE" w:rsidR="008634C6" w:rsidRDefault="008634C6" w:rsidP="005A15AB">
      <w:pPr>
        <w:spacing w:line="240" w:lineRule="auto"/>
        <w:ind w:left="360" w:right="-450" w:hanging="360"/>
        <w:rPr>
          <w:rFonts w:ascii="Times New Roman" w:hAnsi="Times New Roman" w:cs="Times New Roman"/>
          <w:sz w:val="24"/>
          <w:szCs w:val="24"/>
        </w:rPr>
      </w:pPr>
      <w:r>
        <w:rPr>
          <w:rFonts w:ascii="Times New Roman" w:hAnsi="Times New Roman" w:cs="Times New Roman"/>
          <w:sz w:val="24"/>
          <w:szCs w:val="24"/>
        </w:rPr>
        <w:t xml:space="preserve">Oneal, John R., and Bruce Russett. 1999. “The Kantian Peace: The Pacific Benefits of Democracy, Interdependence, and International Organizations.” </w:t>
      </w:r>
      <w:r w:rsidRPr="008634C6">
        <w:rPr>
          <w:rFonts w:ascii="Times New Roman" w:hAnsi="Times New Roman" w:cs="Times New Roman"/>
          <w:i/>
          <w:sz w:val="24"/>
          <w:szCs w:val="24"/>
        </w:rPr>
        <w:t>World Politics</w:t>
      </w:r>
      <w:r>
        <w:rPr>
          <w:rFonts w:ascii="Times New Roman" w:hAnsi="Times New Roman" w:cs="Times New Roman"/>
          <w:sz w:val="24"/>
          <w:szCs w:val="24"/>
        </w:rPr>
        <w:t xml:space="preserve"> 52, 1: 1-37.</w:t>
      </w:r>
    </w:p>
    <w:p w14:paraId="04350DCD" w14:textId="794D3D2B" w:rsidR="00506619" w:rsidRDefault="00506619" w:rsidP="005A15AB">
      <w:pPr>
        <w:spacing w:line="240" w:lineRule="auto"/>
        <w:ind w:left="360" w:right="-450" w:hanging="360"/>
        <w:rPr>
          <w:rFonts w:ascii="Times New Roman" w:hAnsi="Times New Roman" w:cs="Times New Roman"/>
          <w:sz w:val="24"/>
          <w:szCs w:val="24"/>
        </w:rPr>
      </w:pPr>
      <w:r>
        <w:rPr>
          <w:rFonts w:ascii="Times New Roman" w:hAnsi="Times New Roman" w:cs="Times New Roman"/>
          <w:sz w:val="24"/>
          <w:szCs w:val="24"/>
        </w:rPr>
        <w:t>Rasler, Karen A. 2018. “Revolution and Rivalry Onset: The Emergence of the Egyptian-Saudi (1955-70) and Iranian-Saudi Rivalries (1979-2016),” in this volume.</w:t>
      </w:r>
    </w:p>
    <w:p w14:paraId="1D017062" w14:textId="4E0D75BA" w:rsidR="005A15AB" w:rsidRDefault="005A15AB" w:rsidP="005A15AB">
      <w:pPr>
        <w:spacing w:line="240" w:lineRule="auto"/>
        <w:ind w:left="360" w:right="-450" w:hanging="360"/>
        <w:rPr>
          <w:rFonts w:ascii="Times New Roman" w:hAnsi="Times New Roman" w:cs="Times New Roman"/>
          <w:sz w:val="24"/>
          <w:szCs w:val="24"/>
        </w:rPr>
      </w:pPr>
      <w:r w:rsidRPr="00A04643">
        <w:rPr>
          <w:rFonts w:ascii="Times New Roman" w:hAnsi="Times New Roman" w:cs="Times New Roman"/>
          <w:sz w:val="24"/>
          <w:szCs w:val="24"/>
        </w:rPr>
        <w:t xml:space="preserve">Rasler, Karen A. and William R. Thompson. 2005. </w:t>
      </w:r>
      <w:r w:rsidRPr="00A04643">
        <w:rPr>
          <w:rFonts w:ascii="Times New Roman" w:hAnsi="Times New Roman" w:cs="Times New Roman"/>
          <w:i/>
          <w:sz w:val="24"/>
          <w:szCs w:val="24"/>
        </w:rPr>
        <w:t>Puzzles of the Democratic Peace: Theory, Geopolitics and the Transformation of World Politics</w:t>
      </w:r>
      <w:r w:rsidRPr="00A04643">
        <w:rPr>
          <w:rFonts w:ascii="Times New Roman" w:hAnsi="Times New Roman" w:cs="Times New Roman"/>
          <w:sz w:val="24"/>
          <w:szCs w:val="24"/>
        </w:rPr>
        <w:t>. New York: Palgrave MacMillan.</w:t>
      </w:r>
    </w:p>
    <w:p w14:paraId="756A51EF" w14:textId="656085DB" w:rsidR="00125620" w:rsidRDefault="00125620" w:rsidP="005A15AB">
      <w:pPr>
        <w:spacing w:line="240" w:lineRule="auto"/>
        <w:ind w:left="360" w:right="-450" w:hanging="360"/>
        <w:rPr>
          <w:rFonts w:ascii="Times New Roman" w:hAnsi="Times New Roman" w:cs="Times New Roman"/>
          <w:sz w:val="24"/>
          <w:szCs w:val="24"/>
        </w:rPr>
      </w:pPr>
      <w:r>
        <w:rPr>
          <w:rFonts w:ascii="Times New Roman" w:hAnsi="Times New Roman" w:cs="Times New Roman"/>
          <w:sz w:val="24"/>
          <w:szCs w:val="24"/>
        </w:rPr>
        <w:t>Solingen</w:t>
      </w:r>
      <w:r w:rsidR="0081664F">
        <w:rPr>
          <w:rFonts w:ascii="Times New Roman" w:hAnsi="Times New Roman" w:cs="Times New Roman"/>
          <w:sz w:val="24"/>
          <w:szCs w:val="24"/>
        </w:rPr>
        <w:t xml:space="preserve">, Etel. 2012. “Of Dominoes and Firewalls: The Domestic, Regional and Global Politics of International Diffusion.” </w:t>
      </w:r>
      <w:r w:rsidR="0081664F" w:rsidRPr="0081664F">
        <w:rPr>
          <w:rFonts w:ascii="Times New Roman" w:hAnsi="Times New Roman" w:cs="Times New Roman"/>
          <w:i/>
          <w:sz w:val="24"/>
          <w:szCs w:val="24"/>
        </w:rPr>
        <w:t>International Studies Quarterly</w:t>
      </w:r>
      <w:r w:rsidR="0081664F">
        <w:rPr>
          <w:rFonts w:ascii="Times New Roman" w:hAnsi="Times New Roman" w:cs="Times New Roman"/>
          <w:sz w:val="24"/>
          <w:szCs w:val="24"/>
        </w:rPr>
        <w:t xml:space="preserve"> 56, 4: </w:t>
      </w:r>
    </w:p>
    <w:p w14:paraId="583A9C48" w14:textId="6F2D870A" w:rsidR="00C43812" w:rsidRDefault="00C43812" w:rsidP="005A15AB">
      <w:pPr>
        <w:spacing w:line="240" w:lineRule="auto"/>
        <w:ind w:left="360" w:right="-450" w:hanging="360"/>
        <w:rPr>
          <w:rFonts w:ascii="Times New Roman" w:hAnsi="Times New Roman" w:cs="Times New Roman"/>
          <w:sz w:val="24"/>
          <w:szCs w:val="24"/>
        </w:rPr>
      </w:pPr>
      <w:r>
        <w:rPr>
          <w:rFonts w:ascii="Times New Roman" w:hAnsi="Times New Roman" w:cs="Times New Roman"/>
          <w:sz w:val="24"/>
          <w:szCs w:val="24"/>
        </w:rPr>
        <w:t xml:space="preserve">Sorli, Mirjam E., Nils Petter Gleditsch, and Havard Strand. 2005. “Why is There So Much Conflict in the Middle East?” </w:t>
      </w:r>
      <w:r w:rsidRPr="00C43812">
        <w:rPr>
          <w:rFonts w:ascii="Times New Roman" w:hAnsi="Times New Roman" w:cs="Times New Roman"/>
          <w:i/>
          <w:sz w:val="24"/>
          <w:szCs w:val="24"/>
        </w:rPr>
        <w:t>Journal of Conflict Resolution</w:t>
      </w:r>
      <w:r>
        <w:rPr>
          <w:rFonts w:ascii="Times New Roman" w:hAnsi="Times New Roman" w:cs="Times New Roman"/>
          <w:sz w:val="24"/>
          <w:szCs w:val="24"/>
        </w:rPr>
        <w:t xml:space="preserve"> 49,1: 141-165.</w:t>
      </w:r>
    </w:p>
    <w:p w14:paraId="39F18CB1" w14:textId="7B0E6A61" w:rsidR="00DA0300" w:rsidRDefault="00DA0300" w:rsidP="005A15AB">
      <w:pPr>
        <w:spacing w:line="240" w:lineRule="auto"/>
        <w:ind w:left="360" w:right="-450" w:hanging="360"/>
        <w:rPr>
          <w:rFonts w:ascii="Times New Roman" w:hAnsi="Times New Roman" w:cs="Times New Roman"/>
          <w:sz w:val="24"/>
          <w:szCs w:val="24"/>
        </w:rPr>
      </w:pPr>
      <w:r>
        <w:rPr>
          <w:rFonts w:ascii="Times New Roman" w:hAnsi="Times New Roman" w:cs="Times New Roman"/>
          <w:sz w:val="24"/>
          <w:szCs w:val="24"/>
        </w:rPr>
        <w:t xml:space="preserve">Thompson, William R. 1973. </w:t>
      </w:r>
      <w:r w:rsidR="00841453">
        <w:rPr>
          <w:rFonts w:ascii="Times New Roman" w:hAnsi="Times New Roman" w:cs="Times New Roman"/>
          <w:sz w:val="24"/>
          <w:szCs w:val="24"/>
        </w:rPr>
        <w:t xml:space="preserve">“The Regional Subsystem: A Conceptual Explication and a Propositional Inventory.” </w:t>
      </w:r>
      <w:r w:rsidR="00841453" w:rsidRPr="00841453">
        <w:rPr>
          <w:rFonts w:ascii="Times New Roman" w:hAnsi="Times New Roman" w:cs="Times New Roman"/>
          <w:i/>
          <w:sz w:val="24"/>
          <w:szCs w:val="24"/>
        </w:rPr>
        <w:t>International Studies Quarterly</w:t>
      </w:r>
      <w:r w:rsidR="00841453">
        <w:rPr>
          <w:rFonts w:ascii="Times New Roman" w:hAnsi="Times New Roman" w:cs="Times New Roman"/>
          <w:sz w:val="24"/>
          <w:szCs w:val="24"/>
        </w:rPr>
        <w:t xml:space="preserve"> 17, 1: 89-117.</w:t>
      </w:r>
    </w:p>
    <w:p w14:paraId="2811A9C2" w14:textId="15DAE103" w:rsidR="00841453" w:rsidRDefault="00841453" w:rsidP="005A15AB">
      <w:pPr>
        <w:spacing w:line="240" w:lineRule="auto"/>
        <w:ind w:left="360" w:right="-450" w:hanging="360"/>
        <w:rPr>
          <w:rFonts w:ascii="Times New Roman" w:hAnsi="Times New Roman" w:cs="Times New Roman"/>
          <w:sz w:val="24"/>
          <w:szCs w:val="24"/>
        </w:rPr>
      </w:pPr>
      <w:r>
        <w:rPr>
          <w:rFonts w:ascii="Times New Roman" w:hAnsi="Times New Roman" w:cs="Times New Roman"/>
          <w:sz w:val="24"/>
          <w:szCs w:val="24"/>
        </w:rPr>
        <w:t>Thompson, William R. 2001.</w:t>
      </w:r>
      <w:r w:rsidR="0081664F">
        <w:rPr>
          <w:rFonts w:ascii="Times New Roman" w:hAnsi="Times New Roman" w:cs="Times New Roman"/>
          <w:sz w:val="24"/>
          <w:szCs w:val="24"/>
        </w:rPr>
        <w:t xml:space="preserve"> “Identifying Rivals and Rivalries in World Politics.” </w:t>
      </w:r>
      <w:r w:rsidR="0081664F" w:rsidRPr="0081664F">
        <w:rPr>
          <w:rFonts w:ascii="Times New Roman" w:hAnsi="Times New Roman" w:cs="Times New Roman"/>
          <w:i/>
          <w:sz w:val="24"/>
          <w:szCs w:val="24"/>
        </w:rPr>
        <w:t>International Studies Quarterly</w:t>
      </w:r>
      <w:r w:rsidR="0081664F">
        <w:rPr>
          <w:rFonts w:ascii="Times New Roman" w:hAnsi="Times New Roman" w:cs="Times New Roman"/>
          <w:sz w:val="24"/>
          <w:szCs w:val="24"/>
        </w:rPr>
        <w:t xml:space="preserve"> 45, 4: 557-586.</w:t>
      </w:r>
    </w:p>
    <w:p w14:paraId="08F6E238" w14:textId="3C5EF924" w:rsidR="00591541" w:rsidRDefault="00591541" w:rsidP="005A15AB">
      <w:pPr>
        <w:spacing w:line="240" w:lineRule="auto"/>
        <w:ind w:left="360" w:right="-450" w:hanging="360"/>
        <w:rPr>
          <w:rFonts w:ascii="Times New Roman" w:hAnsi="Times New Roman" w:cs="Times New Roman"/>
          <w:sz w:val="24"/>
          <w:szCs w:val="24"/>
        </w:rPr>
      </w:pPr>
      <w:r>
        <w:rPr>
          <w:rFonts w:ascii="Times New Roman" w:hAnsi="Times New Roman" w:cs="Times New Roman"/>
          <w:sz w:val="24"/>
          <w:szCs w:val="24"/>
        </w:rPr>
        <w:t>Thompson, William R. 201</w:t>
      </w:r>
      <w:r w:rsidR="00706D2A">
        <w:rPr>
          <w:rFonts w:ascii="Times New Roman" w:hAnsi="Times New Roman" w:cs="Times New Roman"/>
          <w:sz w:val="24"/>
          <w:szCs w:val="24"/>
        </w:rPr>
        <w:t>8</w:t>
      </w:r>
      <w:r>
        <w:rPr>
          <w:rFonts w:ascii="Times New Roman" w:hAnsi="Times New Roman" w:cs="Times New Roman"/>
          <w:sz w:val="24"/>
          <w:szCs w:val="24"/>
        </w:rPr>
        <w:t xml:space="preserve">. </w:t>
      </w:r>
      <w:r w:rsidR="00706D2A">
        <w:rPr>
          <w:rFonts w:ascii="Times New Roman" w:hAnsi="Times New Roman" w:cs="Times New Roman"/>
          <w:sz w:val="24"/>
          <w:szCs w:val="24"/>
        </w:rPr>
        <w:t>“Humpty Dumpty Had a Great Fall? Making Sense of Longer-Term Ups and Downs in Middle Eastern Rivalries.” In</w:t>
      </w:r>
      <w:r w:rsidR="005464E8">
        <w:rPr>
          <w:rFonts w:ascii="Times New Roman" w:hAnsi="Times New Roman" w:cs="Times New Roman"/>
          <w:sz w:val="24"/>
          <w:szCs w:val="24"/>
        </w:rPr>
        <w:t xml:space="preserve"> </w:t>
      </w:r>
      <w:r w:rsidR="00453B41">
        <w:rPr>
          <w:rFonts w:ascii="Times New Roman" w:hAnsi="Times New Roman" w:cs="Times New Roman"/>
          <w:sz w:val="24"/>
          <w:szCs w:val="24"/>
        </w:rPr>
        <w:t xml:space="preserve">Thompson and Mansour (eds.) </w:t>
      </w:r>
    </w:p>
    <w:p w14:paraId="7E2B11E6" w14:textId="1913B800" w:rsidR="00841453" w:rsidRPr="00A04643" w:rsidRDefault="00841453" w:rsidP="005A15AB">
      <w:pPr>
        <w:spacing w:line="240" w:lineRule="auto"/>
        <w:ind w:left="360" w:right="-450" w:hanging="360"/>
        <w:rPr>
          <w:rFonts w:ascii="Times New Roman" w:hAnsi="Times New Roman" w:cs="Times New Roman"/>
          <w:sz w:val="24"/>
          <w:szCs w:val="24"/>
        </w:rPr>
      </w:pPr>
      <w:r>
        <w:rPr>
          <w:rFonts w:ascii="Times New Roman" w:hAnsi="Times New Roman" w:cs="Times New Roman"/>
          <w:sz w:val="24"/>
          <w:szCs w:val="24"/>
        </w:rPr>
        <w:t xml:space="preserve">Thompson, William R., and </w:t>
      </w:r>
      <w:r w:rsidR="0081664F">
        <w:rPr>
          <w:rFonts w:ascii="Times New Roman" w:hAnsi="Times New Roman" w:cs="Times New Roman"/>
          <w:sz w:val="24"/>
          <w:szCs w:val="24"/>
        </w:rPr>
        <w:t>David Dreyer</w:t>
      </w:r>
      <w:r>
        <w:rPr>
          <w:rFonts w:ascii="Times New Roman" w:hAnsi="Times New Roman" w:cs="Times New Roman"/>
          <w:sz w:val="24"/>
          <w:szCs w:val="24"/>
        </w:rPr>
        <w:t>. 2011.</w:t>
      </w:r>
      <w:r w:rsidR="00EB7BF3">
        <w:rPr>
          <w:rFonts w:ascii="Times New Roman" w:hAnsi="Times New Roman" w:cs="Times New Roman"/>
          <w:sz w:val="24"/>
          <w:szCs w:val="24"/>
        </w:rPr>
        <w:t xml:space="preserve"> </w:t>
      </w:r>
      <w:r w:rsidR="00EB7BF3" w:rsidRPr="00EB7BF3">
        <w:rPr>
          <w:rFonts w:ascii="Times New Roman" w:hAnsi="Times New Roman" w:cs="Times New Roman"/>
          <w:i/>
          <w:sz w:val="24"/>
          <w:szCs w:val="24"/>
        </w:rPr>
        <w:t>Handbook of International Rivalries, 1494-2010</w:t>
      </w:r>
      <w:r w:rsidR="00EB7BF3">
        <w:rPr>
          <w:rFonts w:ascii="Times New Roman" w:hAnsi="Times New Roman" w:cs="Times New Roman"/>
          <w:sz w:val="24"/>
          <w:szCs w:val="24"/>
        </w:rPr>
        <w:t>. Washington DC: Congressional Quarterly Press.</w:t>
      </w:r>
    </w:p>
    <w:p w14:paraId="5B412E46" w14:textId="77777777" w:rsidR="005A15AB" w:rsidRPr="00FD3360" w:rsidRDefault="005A15AB" w:rsidP="005A15AB">
      <w:pPr>
        <w:spacing w:line="240" w:lineRule="auto"/>
        <w:ind w:left="360" w:right="-450" w:hanging="360"/>
        <w:rPr>
          <w:rFonts w:ascii="Times New Roman" w:hAnsi="Times New Roman" w:cs="Times New Roman"/>
          <w:sz w:val="24"/>
          <w:szCs w:val="24"/>
        </w:rPr>
      </w:pPr>
      <w:r>
        <w:rPr>
          <w:rFonts w:ascii="Times New Roman" w:hAnsi="Times New Roman" w:cs="Times New Roman"/>
          <w:sz w:val="24"/>
          <w:szCs w:val="24"/>
        </w:rPr>
        <w:t xml:space="preserve">Vasquez John A. 2001. “Mapping the probability of war and analyzing the possibility of peace: The role of territorial disputes.” </w:t>
      </w:r>
      <w:r w:rsidRPr="00AD18E9">
        <w:rPr>
          <w:rFonts w:ascii="Times New Roman" w:hAnsi="Times New Roman" w:cs="Times New Roman"/>
          <w:i/>
          <w:sz w:val="24"/>
          <w:szCs w:val="24"/>
        </w:rPr>
        <w:t>Conflict Management and Peace Science</w:t>
      </w:r>
      <w:r>
        <w:rPr>
          <w:rFonts w:ascii="Times New Roman" w:hAnsi="Times New Roman" w:cs="Times New Roman"/>
          <w:sz w:val="24"/>
          <w:szCs w:val="24"/>
        </w:rPr>
        <w:t xml:space="preserve"> 18, 2: 145-173.</w:t>
      </w:r>
    </w:p>
    <w:p w14:paraId="6E9928FD" w14:textId="77777777" w:rsidR="005A15AB" w:rsidRDefault="005A15AB" w:rsidP="005A15AB">
      <w:pPr>
        <w:ind w:left="360" w:hanging="360"/>
        <w:rPr>
          <w:rFonts w:ascii="Times New Roman" w:eastAsia="Times New Roman" w:hAnsi="Times New Roman" w:cs="Times New Roman"/>
          <w:sz w:val="24"/>
          <w:szCs w:val="24"/>
        </w:rPr>
      </w:pPr>
      <w:r w:rsidRPr="00BB2B4C">
        <w:rPr>
          <w:rFonts w:ascii="Times New Roman" w:eastAsia="Times New Roman" w:hAnsi="Times New Roman" w:cs="Times New Roman"/>
          <w:sz w:val="24"/>
          <w:szCs w:val="24"/>
        </w:rPr>
        <w:lastRenderedPageBreak/>
        <w:t xml:space="preserve">Volgy, Thomas J., Renato Corbetta, Keith A. Grant, and Ryan G. Baird. 2011. </w:t>
      </w:r>
      <w:r w:rsidRPr="00BB2B4C">
        <w:rPr>
          <w:rFonts w:ascii="Times New Roman" w:eastAsia="Times New Roman" w:hAnsi="Times New Roman" w:cs="Times New Roman"/>
          <w:i/>
          <w:sz w:val="24"/>
          <w:szCs w:val="24"/>
        </w:rPr>
        <w:t>Major Powers and the Quest for Status in International Politics</w:t>
      </w:r>
      <w:r w:rsidRPr="00BB2B4C">
        <w:rPr>
          <w:rFonts w:ascii="Times New Roman" w:eastAsia="Times New Roman" w:hAnsi="Times New Roman" w:cs="Times New Roman"/>
          <w:sz w:val="24"/>
          <w:szCs w:val="24"/>
        </w:rPr>
        <w:t>. New York: Palgrave MacMillan.</w:t>
      </w:r>
    </w:p>
    <w:p w14:paraId="04C671E4" w14:textId="77777777" w:rsidR="007364EC" w:rsidRDefault="005A15AB" w:rsidP="007364EC">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Volgy, Thomas J., Paul Bezerra, Jacob Cramer, and J. Patrick Rhamey Jr. 2017</w:t>
      </w:r>
      <w:r w:rsidR="004B2B17">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“The Case for </w:t>
      </w:r>
      <w:r w:rsidR="007364EC">
        <w:rPr>
          <w:rFonts w:ascii="Times New Roman" w:eastAsia="Times New Roman" w:hAnsi="Times New Roman" w:cs="Times New Roman"/>
          <w:sz w:val="24"/>
          <w:szCs w:val="24"/>
        </w:rPr>
        <w:tab/>
      </w:r>
    </w:p>
    <w:p w14:paraId="4C0BF498" w14:textId="4C851B3C" w:rsidR="007364EC" w:rsidRDefault="005A15AB" w:rsidP="007364EC">
      <w:pPr>
        <w:pStyle w:val="NoSpacing"/>
        <w:ind w:left="360"/>
        <w:rPr>
          <w:rFonts w:ascii="Times New Roman" w:hAnsi="Times New Roman"/>
          <w:sz w:val="24"/>
          <w:szCs w:val="24"/>
        </w:rPr>
      </w:pPr>
      <w:r>
        <w:rPr>
          <w:rFonts w:ascii="Times New Roman" w:eastAsia="Times New Roman" w:hAnsi="Times New Roman" w:cs="Times New Roman"/>
          <w:sz w:val="24"/>
          <w:szCs w:val="24"/>
        </w:rPr>
        <w:t xml:space="preserve">Comparative Regional Analysis in International Politics.” </w:t>
      </w:r>
      <w:r w:rsidRPr="00F22E87">
        <w:rPr>
          <w:rFonts w:ascii="Times New Roman" w:eastAsia="Times New Roman" w:hAnsi="Times New Roman" w:cs="Times New Roman"/>
          <w:i/>
          <w:sz w:val="24"/>
          <w:szCs w:val="24"/>
        </w:rPr>
        <w:t>International Studies Review</w:t>
      </w:r>
      <w:r w:rsidR="007364EC">
        <w:rPr>
          <w:rFonts w:ascii="Times New Roman" w:eastAsia="Times New Roman" w:hAnsi="Times New Roman" w:cs="Times New Roman"/>
          <w:i/>
          <w:sz w:val="24"/>
          <w:szCs w:val="24"/>
        </w:rPr>
        <w:t>,</w:t>
      </w:r>
      <w:r w:rsidR="005464E8">
        <w:rPr>
          <w:rFonts w:ascii="Times New Roman" w:hAnsi="Times New Roman"/>
          <w:sz w:val="24"/>
          <w:szCs w:val="24"/>
        </w:rPr>
        <w:t xml:space="preserve"> </w:t>
      </w:r>
      <w:r w:rsidR="007364EC">
        <w:rPr>
          <w:rFonts w:ascii="Times New Roman" w:hAnsi="Times New Roman"/>
          <w:sz w:val="24"/>
          <w:szCs w:val="24"/>
        </w:rPr>
        <w:t>(</w:t>
      </w:r>
      <w:r w:rsidR="007364EC" w:rsidRPr="006A4E34">
        <w:rPr>
          <w:rFonts w:ascii="Times New Roman" w:hAnsi="Times New Roman"/>
          <w:sz w:val="24"/>
          <w:szCs w:val="24"/>
        </w:rPr>
        <w:t>July) (</w:t>
      </w:r>
      <w:r w:rsidR="007364EC" w:rsidRPr="006A4E34">
        <w:rPr>
          <w:rFonts w:ascii="Times New Roman" w:hAnsi="Times New Roman"/>
          <w:bCs/>
          <w:color w:val="2A2A2A"/>
          <w:sz w:val="24"/>
          <w:szCs w:val="24"/>
        </w:rPr>
        <w:t xml:space="preserve">DOI: </w:t>
      </w:r>
      <w:hyperlink r:id="rId28" w:history="1">
        <w:r w:rsidR="007364EC" w:rsidRPr="006A4E34">
          <w:rPr>
            <w:rFonts w:ascii="Times New Roman" w:hAnsi="Times New Roman"/>
            <w:color w:val="006FB7"/>
            <w:sz w:val="24"/>
            <w:szCs w:val="24"/>
            <w:u w:val="single"/>
            <w:bdr w:val="none" w:sz="0" w:space="0" w:color="auto" w:frame="1"/>
          </w:rPr>
          <w:t>https://doi.org/10.1093/isr/vix011</w:t>
        </w:r>
      </w:hyperlink>
      <w:r w:rsidR="007364EC" w:rsidRPr="006A4E34">
        <w:rPr>
          <w:rFonts w:ascii="Times New Roman" w:hAnsi="Times New Roman"/>
          <w:color w:val="2A2A2A"/>
          <w:sz w:val="24"/>
          <w:szCs w:val="24"/>
        </w:rPr>
        <w:t>)</w:t>
      </w:r>
      <w:r w:rsidR="007364EC" w:rsidRPr="006A4E34">
        <w:rPr>
          <w:rFonts w:ascii="Times New Roman" w:hAnsi="Times New Roman"/>
          <w:sz w:val="24"/>
          <w:szCs w:val="24"/>
        </w:rPr>
        <w:t>.</w:t>
      </w:r>
    </w:p>
    <w:p w14:paraId="01B350FA" w14:textId="77777777" w:rsidR="004B2B17" w:rsidRDefault="004B2B17" w:rsidP="004B2B17">
      <w:pPr>
        <w:pStyle w:val="NoSpacing"/>
        <w:rPr>
          <w:rFonts w:ascii="Times New Roman" w:hAnsi="Times New Roman"/>
          <w:sz w:val="24"/>
          <w:szCs w:val="24"/>
        </w:rPr>
      </w:pPr>
    </w:p>
    <w:p w14:paraId="5730F4E9" w14:textId="5EAE51E5" w:rsidR="00876829" w:rsidRDefault="004B2B17" w:rsidP="00E6073A">
      <w:pPr>
        <w:pStyle w:val="NoSpacing"/>
        <w:rPr>
          <w:rFonts w:ascii="Times New Roman" w:eastAsia="Times New Roman" w:hAnsi="Times New Roman" w:cs="Times New Roman"/>
          <w:color w:val="000000"/>
          <w:sz w:val="24"/>
          <w:szCs w:val="24"/>
          <w:shd w:val="clear" w:color="auto" w:fill="FFFFFF"/>
        </w:rPr>
      </w:pPr>
      <w:r w:rsidRPr="004B2B17">
        <w:rPr>
          <w:rFonts w:ascii="Times New Roman" w:hAnsi="Times New Roman" w:cs="Times New Roman"/>
          <w:sz w:val="24"/>
          <w:szCs w:val="24"/>
        </w:rPr>
        <w:t>Volgy, Thomas J., Kelly Gordell, J. Patrick Rhamey, and Paul Bezerra. 2017</w:t>
      </w:r>
      <w:r>
        <w:rPr>
          <w:rFonts w:ascii="Times New Roman" w:hAnsi="Times New Roman" w:cs="Times New Roman"/>
          <w:sz w:val="24"/>
          <w:szCs w:val="24"/>
        </w:rPr>
        <w:t>b</w:t>
      </w:r>
      <w:r w:rsidRPr="004B2B17">
        <w:rPr>
          <w:rFonts w:ascii="Times New Roman" w:hAnsi="Times New Roman" w:cs="Times New Roman"/>
          <w:sz w:val="24"/>
          <w:szCs w:val="24"/>
        </w:rPr>
        <w:t xml:space="preserve">. “Conflicts, </w:t>
      </w:r>
      <w:r>
        <w:rPr>
          <w:rFonts w:ascii="Times New Roman" w:hAnsi="Times New Roman" w:cs="Times New Roman"/>
          <w:sz w:val="24"/>
          <w:szCs w:val="24"/>
        </w:rPr>
        <w:tab/>
      </w:r>
      <w:r w:rsidRPr="004B2B17">
        <w:rPr>
          <w:rFonts w:ascii="Times New Roman" w:hAnsi="Times New Roman" w:cs="Times New Roman"/>
          <w:sz w:val="24"/>
          <w:szCs w:val="24"/>
        </w:rPr>
        <w:t>Regions, and Regional Hierarchies.” In W.R. Thompson (ed</w:t>
      </w:r>
      <w:bookmarkStart w:id="1" w:name="_Hlk485980443"/>
      <w:r w:rsidRPr="004B2B17">
        <w:rPr>
          <w:rFonts w:ascii="Times New Roman" w:hAnsi="Times New Roman" w:cs="Times New Roman"/>
          <w:sz w:val="24"/>
          <w:szCs w:val="24"/>
        </w:rPr>
        <w:t xml:space="preserve">.), </w:t>
      </w:r>
      <w:r w:rsidRPr="004B2B17">
        <w:rPr>
          <w:rFonts w:ascii="Times New Roman" w:eastAsia="Times New Roman" w:hAnsi="Times New Roman" w:cs="Times New Roman"/>
          <w:bCs/>
          <w:i/>
          <w:color w:val="000000"/>
          <w:sz w:val="24"/>
          <w:szCs w:val="24"/>
          <w:shd w:val="clear" w:color="auto" w:fill="FFFFFF"/>
        </w:rPr>
        <w:t xml:space="preserve">The Oxford Encyclopedia </w:t>
      </w:r>
      <w:r>
        <w:rPr>
          <w:rFonts w:ascii="Times New Roman" w:eastAsia="Times New Roman" w:hAnsi="Times New Roman" w:cs="Times New Roman"/>
          <w:bCs/>
          <w:i/>
          <w:color w:val="000000"/>
          <w:sz w:val="24"/>
          <w:szCs w:val="24"/>
          <w:shd w:val="clear" w:color="auto" w:fill="FFFFFF"/>
        </w:rPr>
        <w:tab/>
      </w:r>
      <w:r w:rsidRPr="004B2B17">
        <w:rPr>
          <w:rFonts w:ascii="Times New Roman" w:eastAsia="Times New Roman" w:hAnsi="Times New Roman" w:cs="Times New Roman"/>
          <w:bCs/>
          <w:i/>
          <w:color w:val="000000"/>
          <w:sz w:val="24"/>
          <w:szCs w:val="24"/>
          <w:shd w:val="clear" w:color="auto" w:fill="FFFFFF"/>
        </w:rPr>
        <w:t>of Empirical International Relations Theories</w:t>
      </w:r>
      <w:r w:rsidRPr="004B2B17">
        <w:rPr>
          <w:rFonts w:ascii="Times New Roman" w:eastAsia="Times New Roman" w:hAnsi="Times New Roman" w:cs="Times New Roman"/>
          <w:color w:val="000000"/>
          <w:sz w:val="24"/>
          <w:szCs w:val="24"/>
          <w:shd w:val="clear" w:color="auto" w:fill="FFFFFF"/>
        </w:rPr>
        <w:t xml:space="preserve">, New York: Oxford University Press (June; </w:t>
      </w:r>
      <w:r>
        <w:rPr>
          <w:rFonts w:ascii="Times New Roman" w:eastAsia="Times New Roman" w:hAnsi="Times New Roman" w:cs="Times New Roman"/>
          <w:color w:val="000000"/>
          <w:sz w:val="24"/>
          <w:szCs w:val="24"/>
          <w:shd w:val="clear" w:color="auto" w:fill="FFFFFF"/>
        </w:rPr>
        <w:tab/>
      </w:r>
      <w:r w:rsidRPr="004B2B17">
        <w:rPr>
          <w:rFonts w:ascii="Times New Roman" w:hAnsi="Times New Roman" w:cs="Times New Roman"/>
          <w:sz w:val="24"/>
          <w:szCs w:val="24"/>
        </w:rPr>
        <w:t>DOI: 10.1093/acrefore/9780190228637.013.310</w:t>
      </w:r>
      <w:r w:rsidRPr="004B2B17">
        <w:rPr>
          <w:rFonts w:ascii="Times New Roman" w:eastAsia="Times New Roman" w:hAnsi="Times New Roman" w:cs="Times New Roman"/>
          <w:color w:val="000000"/>
          <w:sz w:val="24"/>
          <w:szCs w:val="24"/>
          <w:shd w:val="clear" w:color="auto" w:fill="FFFFFF"/>
        </w:rPr>
        <w:t>)</w:t>
      </w:r>
      <w:r>
        <w:rPr>
          <w:rFonts w:ascii="Times New Roman" w:eastAsia="Times New Roman" w:hAnsi="Times New Roman" w:cs="Times New Roman"/>
          <w:color w:val="000000"/>
          <w:sz w:val="24"/>
          <w:szCs w:val="24"/>
          <w:shd w:val="clear" w:color="auto" w:fill="FFFFFF"/>
        </w:rPr>
        <w:t>.</w:t>
      </w:r>
      <w:bookmarkEnd w:id="1"/>
    </w:p>
    <w:p w14:paraId="6088A19F" w14:textId="77777777" w:rsidR="00876829" w:rsidRDefault="00876829">
      <w:pP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br w:type="page"/>
      </w:r>
    </w:p>
    <w:p w14:paraId="3A4E08A4" w14:textId="551B3AE8" w:rsidR="005A15AB" w:rsidRPr="009D07C6" w:rsidRDefault="00876829" w:rsidP="005464E8">
      <w:pPr>
        <w:pStyle w:val="NoSpacing"/>
        <w:outlineLvl w:val="0"/>
        <w:rPr>
          <w:rFonts w:ascii="Times New Roman" w:hAnsi="Times New Roman" w:cs="Times New Roman"/>
          <w:b/>
          <w:sz w:val="24"/>
          <w:szCs w:val="24"/>
        </w:rPr>
      </w:pPr>
      <w:r w:rsidRPr="009D07C6">
        <w:rPr>
          <w:rFonts w:ascii="Times New Roman" w:hAnsi="Times New Roman" w:cs="Times New Roman"/>
          <w:b/>
          <w:sz w:val="24"/>
          <w:szCs w:val="24"/>
        </w:rPr>
        <w:lastRenderedPageBreak/>
        <w:t>Appendix A: List of Variables, Sources, and Manipulations.</w:t>
      </w:r>
    </w:p>
    <w:p w14:paraId="10AFBFEF" w14:textId="26E9891C" w:rsidR="00876829" w:rsidRDefault="00876829" w:rsidP="00E6073A">
      <w:pPr>
        <w:pStyle w:val="NoSpacing"/>
        <w:rPr>
          <w:rFonts w:ascii="Times New Roman" w:hAnsi="Times New Roman" w:cs="Times New Roman"/>
          <w:sz w:val="24"/>
          <w:szCs w:val="24"/>
        </w:rPr>
      </w:pPr>
    </w:p>
    <w:tbl>
      <w:tblPr>
        <w:tblW w:w="10420" w:type="dxa"/>
        <w:tblLook w:val="00A0" w:firstRow="1" w:lastRow="0" w:firstColumn="1" w:lastColumn="0" w:noHBand="0" w:noVBand="0"/>
      </w:tblPr>
      <w:tblGrid>
        <w:gridCol w:w="2520"/>
        <w:gridCol w:w="3200"/>
        <w:gridCol w:w="4700"/>
      </w:tblGrid>
      <w:tr w:rsidR="00876829" w:rsidRPr="00876829" w14:paraId="79D9F350" w14:textId="77777777" w:rsidTr="004A07D4">
        <w:trPr>
          <w:trHeight w:val="359"/>
        </w:trPr>
        <w:tc>
          <w:tcPr>
            <w:tcW w:w="2520" w:type="dxa"/>
            <w:tcBorders>
              <w:top w:val="nil"/>
              <w:left w:val="nil"/>
              <w:bottom w:val="nil"/>
              <w:right w:val="nil"/>
            </w:tcBorders>
            <w:vAlign w:val="center"/>
          </w:tcPr>
          <w:p w14:paraId="73EDF13B" w14:textId="77777777" w:rsidR="00876829" w:rsidRPr="00876829" w:rsidRDefault="00876829" w:rsidP="00876829">
            <w:pPr>
              <w:spacing w:after="0" w:line="480" w:lineRule="auto"/>
              <w:rPr>
                <w:rFonts w:ascii="Times New Roman" w:eastAsia="Times New Roman" w:hAnsi="Times New Roman" w:cs="Times New Roman"/>
                <w:i/>
                <w:sz w:val="24"/>
                <w:szCs w:val="24"/>
                <w:u w:val="single"/>
                <w:lang w:eastAsia="ja-JP"/>
              </w:rPr>
            </w:pPr>
            <w:r w:rsidRPr="00876829">
              <w:rPr>
                <w:rFonts w:ascii="Times New Roman" w:eastAsia="Times New Roman" w:hAnsi="Times New Roman" w:cs="Times New Roman"/>
                <w:i/>
                <w:sz w:val="24"/>
                <w:szCs w:val="24"/>
                <w:u w:val="single"/>
                <w:lang w:eastAsia="ja-JP"/>
              </w:rPr>
              <w:t>Variable</w:t>
            </w:r>
          </w:p>
        </w:tc>
        <w:tc>
          <w:tcPr>
            <w:tcW w:w="3200" w:type="dxa"/>
            <w:tcBorders>
              <w:top w:val="nil"/>
              <w:left w:val="nil"/>
              <w:bottom w:val="nil"/>
              <w:right w:val="nil"/>
            </w:tcBorders>
            <w:vAlign w:val="center"/>
          </w:tcPr>
          <w:p w14:paraId="0A4C4ACA" w14:textId="77777777" w:rsidR="00876829" w:rsidRPr="00876829" w:rsidRDefault="00876829" w:rsidP="00876829">
            <w:pPr>
              <w:spacing w:after="0" w:line="480" w:lineRule="auto"/>
              <w:rPr>
                <w:rFonts w:ascii="Times New Roman" w:eastAsia="Times New Roman" w:hAnsi="Times New Roman" w:cs="Times New Roman"/>
                <w:i/>
                <w:sz w:val="24"/>
                <w:szCs w:val="24"/>
                <w:u w:val="single"/>
                <w:lang w:eastAsia="ja-JP"/>
              </w:rPr>
            </w:pPr>
            <w:r w:rsidRPr="00876829">
              <w:rPr>
                <w:rFonts w:ascii="Times New Roman" w:eastAsia="Times New Roman" w:hAnsi="Times New Roman" w:cs="Times New Roman"/>
                <w:i/>
                <w:sz w:val="24"/>
                <w:szCs w:val="24"/>
                <w:u w:val="single"/>
                <w:lang w:eastAsia="ja-JP"/>
              </w:rPr>
              <w:t>Source</w:t>
            </w:r>
          </w:p>
        </w:tc>
        <w:tc>
          <w:tcPr>
            <w:tcW w:w="4700" w:type="dxa"/>
            <w:tcBorders>
              <w:top w:val="nil"/>
              <w:left w:val="nil"/>
              <w:bottom w:val="nil"/>
              <w:right w:val="nil"/>
            </w:tcBorders>
            <w:vAlign w:val="center"/>
          </w:tcPr>
          <w:p w14:paraId="2BDDDFA8" w14:textId="77777777" w:rsidR="00876829" w:rsidRPr="00876829" w:rsidRDefault="00876829" w:rsidP="00876829">
            <w:pPr>
              <w:spacing w:after="0" w:line="480" w:lineRule="auto"/>
              <w:rPr>
                <w:rFonts w:ascii="Times New Roman" w:eastAsia="Times New Roman" w:hAnsi="Times New Roman" w:cs="Times New Roman"/>
                <w:i/>
                <w:sz w:val="24"/>
                <w:szCs w:val="24"/>
                <w:u w:val="single"/>
                <w:lang w:eastAsia="ja-JP"/>
              </w:rPr>
            </w:pPr>
            <w:r w:rsidRPr="00876829">
              <w:rPr>
                <w:rFonts w:ascii="Times New Roman" w:eastAsia="Times New Roman" w:hAnsi="Times New Roman" w:cs="Times New Roman"/>
                <w:i/>
                <w:sz w:val="24"/>
                <w:szCs w:val="24"/>
                <w:u w:val="single"/>
                <w:lang w:eastAsia="ja-JP"/>
              </w:rPr>
              <w:t>Manipulation</w:t>
            </w:r>
          </w:p>
        </w:tc>
      </w:tr>
      <w:tr w:rsidR="00876829" w:rsidRPr="00876829" w14:paraId="0BD84695" w14:textId="77777777" w:rsidTr="004A07D4">
        <w:trPr>
          <w:trHeight w:val="780"/>
        </w:trPr>
        <w:tc>
          <w:tcPr>
            <w:tcW w:w="2520" w:type="dxa"/>
            <w:tcBorders>
              <w:top w:val="nil"/>
              <w:left w:val="nil"/>
              <w:bottom w:val="nil"/>
              <w:right w:val="nil"/>
            </w:tcBorders>
            <w:vAlign w:val="center"/>
          </w:tcPr>
          <w:p w14:paraId="3958489D"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State MID Involvement</w:t>
            </w:r>
          </w:p>
        </w:tc>
        <w:tc>
          <w:tcPr>
            <w:tcW w:w="3200" w:type="dxa"/>
            <w:tcBorders>
              <w:top w:val="nil"/>
              <w:left w:val="nil"/>
              <w:bottom w:val="nil"/>
              <w:right w:val="nil"/>
            </w:tcBorders>
            <w:vAlign w:val="center"/>
          </w:tcPr>
          <w:p w14:paraId="0AE66EF4"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COW MID v.4 (Palmer, D’Oranzio, Kenwick, &amp; Lane 2015)</w:t>
            </w:r>
            <w:r w:rsidRPr="00876829" w:rsidDel="00FC0192">
              <w:rPr>
                <w:rFonts w:ascii="Times New Roman" w:eastAsia="Times New Roman" w:hAnsi="Times New Roman" w:cs="Times New Roman"/>
                <w:sz w:val="24"/>
                <w:szCs w:val="20"/>
                <w:vertAlign w:val="superscript"/>
              </w:rPr>
              <w:t xml:space="preserve"> </w:t>
            </w:r>
          </w:p>
        </w:tc>
        <w:tc>
          <w:tcPr>
            <w:tcW w:w="4700" w:type="dxa"/>
            <w:tcBorders>
              <w:top w:val="nil"/>
              <w:left w:val="nil"/>
              <w:bottom w:val="nil"/>
              <w:right w:val="nil"/>
            </w:tcBorders>
            <w:vAlign w:val="center"/>
          </w:tcPr>
          <w:p w14:paraId="453B37CB"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Number of states involved in level four or five MIDs/total number of states in region</w:t>
            </w:r>
          </w:p>
        </w:tc>
      </w:tr>
      <w:tr w:rsidR="00876829" w:rsidRPr="00876829" w14:paraId="4DE0C7AE" w14:textId="77777777" w:rsidTr="004A07D4">
        <w:trPr>
          <w:trHeight w:val="780"/>
        </w:trPr>
        <w:tc>
          <w:tcPr>
            <w:tcW w:w="2520" w:type="dxa"/>
            <w:tcBorders>
              <w:top w:val="nil"/>
              <w:left w:val="nil"/>
              <w:bottom w:val="nil"/>
              <w:right w:val="nil"/>
            </w:tcBorders>
            <w:vAlign w:val="center"/>
          </w:tcPr>
          <w:p w14:paraId="031881D2"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MID Frequency</w:t>
            </w:r>
          </w:p>
        </w:tc>
        <w:tc>
          <w:tcPr>
            <w:tcW w:w="3200" w:type="dxa"/>
            <w:tcBorders>
              <w:top w:val="nil"/>
              <w:left w:val="nil"/>
              <w:bottom w:val="nil"/>
              <w:right w:val="nil"/>
            </w:tcBorders>
            <w:vAlign w:val="center"/>
          </w:tcPr>
          <w:p w14:paraId="5E3917E6"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COW MID v.4 (Palmer et al. 2015)</w:t>
            </w:r>
          </w:p>
        </w:tc>
        <w:tc>
          <w:tcPr>
            <w:tcW w:w="4700" w:type="dxa"/>
            <w:tcBorders>
              <w:top w:val="nil"/>
              <w:left w:val="nil"/>
              <w:bottom w:val="nil"/>
              <w:right w:val="nil"/>
            </w:tcBorders>
            <w:vAlign w:val="center"/>
          </w:tcPr>
          <w:p w14:paraId="4F56BEC1"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Number of level four or five MIDs/total number of states in region</w:t>
            </w:r>
          </w:p>
        </w:tc>
      </w:tr>
      <w:tr w:rsidR="00876829" w:rsidRPr="00876829" w14:paraId="059A08DF" w14:textId="77777777" w:rsidTr="004A07D4">
        <w:trPr>
          <w:trHeight w:val="780"/>
        </w:trPr>
        <w:tc>
          <w:tcPr>
            <w:tcW w:w="2520" w:type="dxa"/>
            <w:tcBorders>
              <w:top w:val="nil"/>
              <w:left w:val="nil"/>
              <w:bottom w:val="nil"/>
              <w:right w:val="nil"/>
            </w:tcBorders>
            <w:vAlign w:val="center"/>
          </w:tcPr>
          <w:p w14:paraId="435948AF"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Major Power Presence</w:t>
            </w:r>
          </w:p>
        </w:tc>
        <w:tc>
          <w:tcPr>
            <w:tcW w:w="3200" w:type="dxa"/>
            <w:tcBorders>
              <w:top w:val="nil"/>
              <w:left w:val="nil"/>
              <w:bottom w:val="nil"/>
              <w:right w:val="nil"/>
            </w:tcBorders>
            <w:vAlign w:val="center"/>
          </w:tcPr>
          <w:p w14:paraId="53463FAF"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Volgy et al. (2011)</w:t>
            </w:r>
            <w:r w:rsidRPr="00876829">
              <w:rPr>
                <w:rFonts w:ascii="Times New Roman" w:eastAsia="Times New Roman" w:hAnsi="Times New Roman" w:cs="Times New Roman"/>
                <w:sz w:val="24"/>
                <w:szCs w:val="20"/>
                <w:vertAlign w:val="superscript"/>
              </w:rPr>
              <w:t xml:space="preserve"> </w:t>
            </w:r>
          </w:p>
        </w:tc>
        <w:tc>
          <w:tcPr>
            <w:tcW w:w="4700" w:type="dxa"/>
            <w:tcBorders>
              <w:top w:val="nil"/>
              <w:left w:val="nil"/>
              <w:bottom w:val="nil"/>
              <w:right w:val="nil"/>
            </w:tcBorders>
            <w:vAlign w:val="center"/>
          </w:tcPr>
          <w:p w14:paraId="4905FBCF"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Dichotomous; 1 = presence, 0 = no hierarchy</w:t>
            </w:r>
          </w:p>
        </w:tc>
      </w:tr>
      <w:tr w:rsidR="00876829" w:rsidRPr="00876829" w14:paraId="1BA5C9DE" w14:textId="77777777" w:rsidTr="004A07D4">
        <w:trPr>
          <w:trHeight w:val="780"/>
        </w:trPr>
        <w:tc>
          <w:tcPr>
            <w:tcW w:w="2520" w:type="dxa"/>
            <w:tcBorders>
              <w:top w:val="nil"/>
              <w:left w:val="nil"/>
              <w:bottom w:val="nil"/>
              <w:right w:val="nil"/>
            </w:tcBorders>
            <w:vAlign w:val="center"/>
          </w:tcPr>
          <w:p w14:paraId="0153103B"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Regional Power Presence</w:t>
            </w:r>
          </w:p>
        </w:tc>
        <w:tc>
          <w:tcPr>
            <w:tcW w:w="3200" w:type="dxa"/>
            <w:tcBorders>
              <w:top w:val="nil"/>
              <w:left w:val="nil"/>
              <w:bottom w:val="nil"/>
              <w:right w:val="nil"/>
            </w:tcBorders>
            <w:vAlign w:val="center"/>
          </w:tcPr>
          <w:p w14:paraId="6AA26A44"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Cline et al. (2011)</w:t>
            </w:r>
            <w:r w:rsidRPr="00876829">
              <w:rPr>
                <w:rFonts w:ascii="Times New Roman" w:eastAsia="Times New Roman" w:hAnsi="Times New Roman" w:cs="Times New Roman"/>
                <w:sz w:val="24"/>
                <w:szCs w:val="20"/>
                <w:vertAlign w:val="superscript"/>
              </w:rPr>
              <w:t xml:space="preserve"> </w:t>
            </w:r>
          </w:p>
        </w:tc>
        <w:tc>
          <w:tcPr>
            <w:tcW w:w="4700" w:type="dxa"/>
            <w:tcBorders>
              <w:top w:val="nil"/>
              <w:left w:val="nil"/>
              <w:bottom w:val="nil"/>
              <w:right w:val="nil"/>
            </w:tcBorders>
            <w:vAlign w:val="center"/>
          </w:tcPr>
          <w:p w14:paraId="73D3B3CE"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Dichotomous; 1 = presence, 0 = no hierarchy</w:t>
            </w:r>
          </w:p>
        </w:tc>
      </w:tr>
      <w:tr w:rsidR="00876829" w:rsidRPr="00876829" w14:paraId="6FA32052" w14:textId="77777777" w:rsidTr="004A07D4">
        <w:trPr>
          <w:trHeight w:val="780"/>
        </w:trPr>
        <w:tc>
          <w:tcPr>
            <w:tcW w:w="2520" w:type="dxa"/>
            <w:tcBorders>
              <w:top w:val="nil"/>
              <w:left w:val="nil"/>
              <w:bottom w:val="nil"/>
              <w:right w:val="nil"/>
            </w:tcBorders>
            <w:vAlign w:val="center"/>
          </w:tcPr>
          <w:p w14:paraId="423E1002"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 Intra-Regional Rivalries</w:t>
            </w:r>
          </w:p>
        </w:tc>
        <w:tc>
          <w:tcPr>
            <w:tcW w:w="3200" w:type="dxa"/>
            <w:tcBorders>
              <w:top w:val="nil"/>
              <w:left w:val="nil"/>
              <w:bottom w:val="nil"/>
              <w:right w:val="nil"/>
            </w:tcBorders>
            <w:vAlign w:val="center"/>
          </w:tcPr>
          <w:p w14:paraId="61F8E5B4"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Thompson &amp; Dreyer (2011)</w:t>
            </w:r>
          </w:p>
        </w:tc>
        <w:tc>
          <w:tcPr>
            <w:tcW w:w="4700" w:type="dxa"/>
            <w:tcBorders>
              <w:top w:val="nil"/>
              <w:left w:val="nil"/>
              <w:bottom w:val="nil"/>
              <w:right w:val="nil"/>
            </w:tcBorders>
            <w:vAlign w:val="center"/>
          </w:tcPr>
          <w:p w14:paraId="24912773"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Number of states involved in rivalry with states of the same region; lagged one year</w:t>
            </w:r>
          </w:p>
        </w:tc>
      </w:tr>
      <w:tr w:rsidR="004F0137" w:rsidRPr="00876829" w14:paraId="0567B988" w14:textId="77777777" w:rsidTr="004A07D4">
        <w:trPr>
          <w:trHeight w:val="780"/>
        </w:trPr>
        <w:tc>
          <w:tcPr>
            <w:tcW w:w="2520" w:type="dxa"/>
            <w:tcBorders>
              <w:top w:val="nil"/>
              <w:left w:val="nil"/>
              <w:bottom w:val="nil"/>
              <w:right w:val="nil"/>
            </w:tcBorders>
            <w:vAlign w:val="center"/>
          </w:tcPr>
          <w:p w14:paraId="0367046F" w14:textId="5B8E9423" w:rsidR="004F0137" w:rsidRPr="00876829" w:rsidRDefault="004F0137" w:rsidP="00876829">
            <w:pPr>
              <w:spacing w:after="0" w:line="48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Rivalry Density</w:t>
            </w:r>
          </w:p>
        </w:tc>
        <w:tc>
          <w:tcPr>
            <w:tcW w:w="3200" w:type="dxa"/>
            <w:tcBorders>
              <w:top w:val="nil"/>
              <w:left w:val="nil"/>
              <w:bottom w:val="nil"/>
              <w:right w:val="nil"/>
            </w:tcBorders>
            <w:vAlign w:val="center"/>
          </w:tcPr>
          <w:p w14:paraId="2221D916" w14:textId="0C93558C" w:rsidR="004F0137" w:rsidRPr="00876829" w:rsidRDefault="004F0137" w:rsidP="00876829">
            <w:pPr>
              <w:spacing w:after="0" w:line="48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Thompson &amp; Dreyer (2011)</w:t>
            </w:r>
          </w:p>
        </w:tc>
        <w:tc>
          <w:tcPr>
            <w:tcW w:w="4700" w:type="dxa"/>
            <w:tcBorders>
              <w:top w:val="nil"/>
              <w:left w:val="nil"/>
              <w:bottom w:val="nil"/>
              <w:right w:val="nil"/>
            </w:tcBorders>
            <w:vAlign w:val="center"/>
          </w:tcPr>
          <w:p w14:paraId="0791F4C4" w14:textId="5541FEE9" w:rsidR="004F0137" w:rsidRPr="00876829" w:rsidRDefault="004F0137" w:rsidP="00876829">
            <w:pPr>
              <w:spacing w:after="0" w:line="48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Number of rival-dyads within a region, multiplied by total number of connections/ total number of states within the region minus one</w:t>
            </w:r>
          </w:p>
        </w:tc>
      </w:tr>
      <w:tr w:rsidR="00876829" w:rsidRPr="00876829" w14:paraId="6BD7738B" w14:textId="77777777" w:rsidTr="004A07D4">
        <w:trPr>
          <w:trHeight w:val="780"/>
        </w:trPr>
        <w:tc>
          <w:tcPr>
            <w:tcW w:w="2520" w:type="dxa"/>
            <w:tcBorders>
              <w:top w:val="nil"/>
              <w:left w:val="nil"/>
              <w:bottom w:val="nil"/>
              <w:right w:val="nil"/>
            </w:tcBorders>
            <w:vAlign w:val="center"/>
          </w:tcPr>
          <w:p w14:paraId="601BD6CF"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 Civil Wars</w:t>
            </w:r>
          </w:p>
        </w:tc>
        <w:tc>
          <w:tcPr>
            <w:tcW w:w="3200" w:type="dxa"/>
            <w:tcBorders>
              <w:top w:val="nil"/>
              <w:left w:val="nil"/>
              <w:bottom w:val="nil"/>
              <w:right w:val="nil"/>
            </w:tcBorders>
            <w:vAlign w:val="center"/>
          </w:tcPr>
          <w:p w14:paraId="270CA821"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UCDP-PRIO v.4 (Pettersson &amp; Wallensteen 2015)</w:t>
            </w:r>
            <w:r w:rsidRPr="00876829" w:rsidDel="00FC0192">
              <w:rPr>
                <w:rFonts w:ascii="Times New Roman" w:eastAsia="Times New Roman" w:hAnsi="Times New Roman" w:cs="Times New Roman"/>
                <w:sz w:val="24"/>
                <w:szCs w:val="20"/>
                <w:vertAlign w:val="superscript"/>
              </w:rPr>
              <w:t xml:space="preserve"> </w:t>
            </w:r>
          </w:p>
        </w:tc>
        <w:tc>
          <w:tcPr>
            <w:tcW w:w="4700" w:type="dxa"/>
            <w:tcBorders>
              <w:top w:val="nil"/>
              <w:left w:val="nil"/>
              <w:bottom w:val="nil"/>
              <w:right w:val="nil"/>
            </w:tcBorders>
            <w:vAlign w:val="center"/>
          </w:tcPr>
          <w:p w14:paraId="2B9AC72A"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Number of states involved in internal conflict with cumulative intensity of 1,000 battle-deaths or more; lagged one year</w:t>
            </w:r>
          </w:p>
        </w:tc>
      </w:tr>
      <w:tr w:rsidR="00876829" w:rsidRPr="00876829" w14:paraId="71D79515" w14:textId="77777777" w:rsidTr="004A07D4">
        <w:trPr>
          <w:trHeight w:val="780"/>
        </w:trPr>
        <w:tc>
          <w:tcPr>
            <w:tcW w:w="2520" w:type="dxa"/>
            <w:tcBorders>
              <w:top w:val="nil"/>
              <w:left w:val="nil"/>
              <w:bottom w:val="nil"/>
              <w:right w:val="nil"/>
            </w:tcBorders>
            <w:vAlign w:val="center"/>
          </w:tcPr>
          <w:p w14:paraId="43787ACE"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 Regional Trade</w:t>
            </w:r>
          </w:p>
        </w:tc>
        <w:tc>
          <w:tcPr>
            <w:tcW w:w="3200" w:type="dxa"/>
            <w:tcBorders>
              <w:top w:val="nil"/>
              <w:left w:val="nil"/>
              <w:bottom w:val="nil"/>
              <w:right w:val="nil"/>
            </w:tcBorders>
            <w:vAlign w:val="center"/>
          </w:tcPr>
          <w:p w14:paraId="000C0C7A"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COW Bilateral Trade v.3</w:t>
            </w:r>
            <w:r w:rsidRPr="00876829">
              <w:rPr>
                <w:rFonts w:ascii="Times New Roman" w:eastAsia="Times New Roman" w:hAnsi="Times New Roman" w:cs="Times New Roman"/>
                <w:sz w:val="24"/>
                <w:szCs w:val="20"/>
                <w:vertAlign w:val="superscript"/>
              </w:rPr>
              <w:endnoteReference w:id="1"/>
            </w:r>
            <w:r w:rsidRPr="00876829">
              <w:rPr>
                <w:rFonts w:ascii="Times New Roman" w:eastAsia="Times New Roman" w:hAnsi="Times New Roman" w:cs="Times New Roman"/>
                <w:sz w:val="24"/>
                <w:szCs w:val="20"/>
                <w:vertAlign w:val="superscript"/>
              </w:rPr>
              <w:t>,</w:t>
            </w:r>
            <w:r w:rsidRPr="00876829">
              <w:rPr>
                <w:rFonts w:ascii="Times New Roman" w:eastAsia="Times New Roman" w:hAnsi="Times New Roman" w:cs="Times New Roman"/>
                <w:sz w:val="24"/>
                <w:szCs w:val="20"/>
                <w:vertAlign w:val="superscript"/>
              </w:rPr>
              <w:endnoteReference w:id="2"/>
            </w:r>
          </w:p>
        </w:tc>
        <w:tc>
          <w:tcPr>
            <w:tcW w:w="4700" w:type="dxa"/>
            <w:tcBorders>
              <w:top w:val="nil"/>
              <w:left w:val="nil"/>
              <w:bottom w:val="nil"/>
              <w:right w:val="nil"/>
            </w:tcBorders>
            <w:vAlign w:val="center"/>
          </w:tcPr>
          <w:p w14:paraId="69475D6A"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Amount of trade among states in a region/total trade of the region; logged and lagged one year</w:t>
            </w:r>
          </w:p>
        </w:tc>
      </w:tr>
      <w:tr w:rsidR="00876829" w:rsidRPr="00876829" w14:paraId="1C505F68" w14:textId="77777777" w:rsidTr="004A07D4">
        <w:trPr>
          <w:trHeight w:val="780"/>
        </w:trPr>
        <w:tc>
          <w:tcPr>
            <w:tcW w:w="2520" w:type="dxa"/>
            <w:tcBorders>
              <w:top w:val="nil"/>
              <w:left w:val="nil"/>
              <w:bottom w:val="nil"/>
              <w:right w:val="nil"/>
            </w:tcBorders>
            <w:vAlign w:val="center"/>
          </w:tcPr>
          <w:p w14:paraId="767F2B7B"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lastRenderedPageBreak/>
              <w:t>% Regional Democracies</w:t>
            </w:r>
          </w:p>
        </w:tc>
        <w:tc>
          <w:tcPr>
            <w:tcW w:w="3200" w:type="dxa"/>
            <w:tcBorders>
              <w:top w:val="nil"/>
              <w:left w:val="nil"/>
              <w:bottom w:val="nil"/>
              <w:right w:val="nil"/>
            </w:tcBorders>
            <w:vAlign w:val="center"/>
          </w:tcPr>
          <w:p w14:paraId="07B3FA69"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Polity IV</w:t>
            </w:r>
            <w:r w:rsidRPr="00876829">
              <w:rPr>
                <w:rFonts w:ascii="Times New Roman" w:eastAsia="Times New Roman" w:hAnsi="Times New Roman" w:cs="Times New Roman"/>
                <w:sz w:val="24"/>
                <w:szCs w:val="20"/>
                <w:vertAlign w:val="superscript"/>
              </w:rPr>
              <w:endnoteReference w:id="3"/>
            </w:r>
          </w:p>
        </w:tc>
        <w:tc>
          <w:tcPr>
            <w:tcW w:w="4700" w:type="dxa"/>
            <w:tcBorders>
              <w:top w:val="nil"/>
              <w:left w:val="nil"/>
              <w:bottom w:val="nil"/>
              <w:right w:val="nil"/>
            </w:tcBorders>
            <w:vAlign w:val="center"/>
          </w:tcPr>
          <w:p w14:paraId="1E9A30D7"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Percent of states with Polity IV score of 7+ states/total number of states with Polity IV scores in region; lagged one year</w:t>
            </w:r>
          </w:p>
        </w:tc>
      </w:tr>
      <w:tr w:rsidR="00876829" w:rsidRPr="00876829" w14:paraId="19F2EE2A" w14:textId="77777777" w:rsidTr="004A07D4">
        <w:trPr>
          <w:trHeight w:val="780"/>
        </w:trPr>
        <w:tc>
          <w:tcPr>
            <w:tcW w:w="2520" w:type="dxa"/>
            <w:tcBorders>
              <w:top w:val="nil"/>
              <w:left w:val="nil"/>
              <w:bottom w:val="nil"/>
              <w:right w:val="nil"/>
            </w:tcBorders>
            <w:vAlign w:val="center"/>
          </w:tcPr>
          <w:p w14:paraId="5268CE34"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External Alliances</w:t>
            </w:r>
          </w:p>
        </w:tc>
        <w:tc>
          <w:tcPr>
            <w:tcW w:w="3200" w:type="dxa"/>
            <w:tcBorders>
              <w:top w:val="nil"/>
              <w:left w:val="nil"/>
              <w:bottom w:val="nil"/>
              <w:right w:val="nil"/>
            </w:tcBorders>
            <w:vAlign w:val="center"/>
          </w:tcPr>
          <w:p w14:paraId="19BB8E4A"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COW Formal Alliances v.4.1</w:t>
            </w:r>
            <w:r w:rsidRPr="00876829">
              <w:rPr>
                <w:rFonts w:ascii="Times New Roman" w:eastAsia="Times New Roman" w:hAnsi="Times New Roman" w:cs="Times New Roman"/>
                <w:color w:val="000000"/>
                <w:sz w:val="20"/>
                <w:szCs w:val="20"/>
                <w:vertAlign w:val="superscript"/>
              </w:rPr>
              <w:endnoteReference w:id="4"/>
            </w:r>
          </w:p>
        </w:tc>
        <w:tc>
          <w:tcPr>
            <w:tcW w:w="4700" w:type="dxa"/>
            <w:tcBorders>
              <w:top w:val="nil"/>
              <w:left w:val="nil"/>
              <w:bottom w:val="nil"/>
              <w:right w:val="nil"/>
            </w:tcBorders>
            <w:vAlign w:val="center"/>
          </w:tcPr>
          <w:p w14:paraId="4B4E67DA"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Dichotomous; 1 = presence, 0 = no defense pact between a regional state and an external major power; lagged one year</w:t>
            </w:r>
          </w:p>
        </w:tc>
      </w:tr>
      <w:tr w:rsidR="00876829" w:rsidRPr="00876829" w14:paraId="4628DCD2" w14:textId="77777777" w:rsidTr="004A07D4">
        <w:trPr>
          <w:trHeight w:val="780"/>
        </w:trPr>
        <w:tc>
          <w:tcPr>
            <w:tcW w:w="2520" w:type="dxa"/>
            <w:tcBorders>
              <w:top w:val="nil"/>
              <w:left w:val="nil"/>
              <w:bottom w:val="nil"/>
              <w:right w:val="nil"/>
            </w:tcBorders>
            <w:vAlign w:val="center"/>
          </w:tcPr>
          <w:p w14:paraId="17A77E2D"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Territorial Claims</w:t>
            </w:r>
          </w:p>
        </w:tc>
        <w:tc>
          <w:tcPr>
            <w:tcW w:w="3200" w:type="dxa"/>
            <w:tcBorders>
              <w:top w:val="nil"/>
              <w:left w:val="nil"/>
              <w:bottom w:val="nil"/>
              <w:right w:val="nil"/>
            </w:tcBorders>
            <w:vAlign w:val="center"/>
          </w:tcPr>
          <w:p w14:paraId="0FA051AD"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Gibler and Miller (2014)</w:t>
            </w:r>
            <w:r w:rsidRPr="00876829">
              <w:rPr>
                <w:rFonts w:ascii="Times New Roman" w:eastAsia="Times New Roman" w:hAnsi="Times New Roman" w:cs="Times New Roman"/>
                <w:sz w:val="24"/>
                <w:szCs w:val="20"/>
                <w:vertAlign w:val="superscript"/>
              </w:rPr>
              <w:t xml:space="preserve"> </w:t>
            </w:r>
            <w:r w:rsidRPr="00876829">
              <w:rPr>
                <w:rFonts w:ascii="Times New Roman" w:eastAsia="Times New Roman" w:hAnsi="Times New Roman" w:cs="Times New Roman"/>
                <w:sz w:val="24"/>
                <w:szCs w:val="20"/>
                <w:vertAlign w:val="superscript"/>
              </w:rPr>
              <w:endnoteReference w:id="5"/>
            </w:r>
          </w:p>
        </w:tc>
        <w:tc>
          <w:tcPr>
            <w:tcW w:w="4700" w:type="dxa"/>
            <w:tcBorders>
              <w:top w:val="nil"/>
              <w:left w:val="nil"/>
              <w:bottom w:val="nil"/>
              <w:right w:val="nil"/>
            </w:tcBorders>
            <w:vAlign w:val="center"/>
          </w:tcPr>
          <w:p w14:paraId="146A1EB6"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Number of territorial claims in a region/total number of states in region; lagged one year</w:t>
            </w:r>
          </w:p>
        </w:tc>
      </w:tr>
      <w:tr w:rsidR="00876829" w:rsidRPr="00876829" w14:paraId="6369E136" w14:textId="77777777" w:rsidTr="004A07D4">
        <w:trPr>
          <w:trHeight w:val="780"/>
        </w:trPr>
        <w:tc>
          <w:tcPr>
            <w:tcW w:w="2520" w:type="dxa"/>
            <w:tcBorders>
              <w:top w:val="nil"/>
              <w:left w:val="nil"/>
              <w:bottom w:val="nil"/>
              <w:right w:val="nil"/>
            </w:tcBorders>
            <w:vAlign w:val="center"/>
          </w:tcPr>
          <w:p w14:paraId="28AC40AD"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Regional IGO Membership</w:t>
            </w:r>
          </w:p>
        </w:tc>
        <w:tc>
          <w:tcPr>
            <w:tcW w:w="3200" w:type="dxa"/>
            <w:tcBorders>
              <w:top w:val="nil"/>
              <w:left w:val="nil"/>
              <w:bottom w:val="nil"/>
              <w:right w:val="nil"/>
            </w:tcBorders>
            <w:vAlign w:val="center"/>
          </w:tcPr>
          <w:p w14:paraId="733A0543"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COW IGO; FIGO</w:t>
            </w:r>
            <w:r w:rsidRPr="00876829">
              <w:rPr>
                <w:rFonts w:ascii="Times New Roman" w:eastAsia="Times New Roman" w:hAnsi="Times New Roman" w:cs="Times New Roman"/>
                <w:sz w:val="24"/>
                <w:szCs w:val="20"/>
                <w:vertAlign w:val="superscript"/>
              </w:rPr>
              <w:endnoteReference w:id="6"/>
            </w:r>
          </w:p>
        </w:tc>
        <w:tc>
          <w:tcPr>
            <w:tcW w:w="4700" w:type="dxa"/>
            <w:tcBorders>
              <w:top w:val="nil"/>
              <w:left w:val="nil"/>
              <w:bottom w:val="nil"/>
              <w:right w:val="nil"/>
            </w:tcBorders>
            <w:vAlign w:val="center"/>
          </w:tcPr>
          <w:p w14:paraId="13E8C212"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Number of regional IGO memberships held by states in region/all possible regional IGO memberships; lagged one year</w:t>
            </w:r>
          </w:p>
        </w:tc>
      </w:tr>
      <w:tr w:rsidR="00876829" w:rsidRPr="00876829" w14:paraId="2F7623BD" w14:textId="77777777" w:rsidTr="004A07D4">
        <w:trPr>
          <w:trHeight w:val="780"/>
        </w:trPr>
        <w:tc>
          <w:tcPr>
            <w:tcW w:w="2520" w:type="dxa"/>
            <w:tcBorders>
              <w:top w:val="nil"/>
              <w:left w:val="nil"/>
              <w:bottom w:val="nil"/>
              <w:right w:val="nil"/>
            </w:tcBorders>
            <w:vAlign w:val="center"/>
          </w:tcPr>
          <w:p w14:paraId="6FF1C90E"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Cold War</w:t>
            </w:r>
          </w:p>
        </w:tc>
        <w:tc>
          <w:tcPr>
            <w:tcW w:w="3200" w:type="dxa"/>
            <w:tcBorders>
              <w:top w:val="nil"/>
              <w:left w:val="nil"/>
              <w:bottom w:val="nil"/>
              <w:right w:val="nil"/>
            </w:tcBorders>
            <w:vAlign w:val="center"/>
          </w:tcPr>
          <w:p w14:paraId="29BB0244" w14:textId="77777777" w:rsidR="00876829" w:rsidRPr="00876829" w:rsidRDefault="00876829" w:rsidP="00876829">
            <w:pPr>
              <w:spacing w:after="0" w:line="480" w:lineRule="auto"/>
              <w:rPr>
                <w:rFonts w:ascii="Times New Roman" w:eastAsia="Times New Roman" w:hAnsi="Times New Roman" w:cs="Times New Roman"/>
                <w:sz w:val="24"/>
                <w:szCs w:val="20"/>
              </w:rPr>
            </w:pPr>
          </w:p>
        </w:tc>
        <w:tc>
          <w:tcPr>
            <w:tcW w:w="4700" w:type="dxa"/>
            <w:tcBorders>
              <w:top w:val="nil"/>
              <w:left w:val="nil"/>
              <w:bottom w:val="nil"/>
              <w:right w:val="nil"/>
            </w:tcBorders>
            <w:vAlign w:val="center"/>
          </w:tcPr>
          <w:p w14:paraId="0652BF00"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Dichotomous; 1 = Cold War; 0 = post-Cold War</w:t>
            </w:r>
          </w:p>
        </w:tc>
      </w:tr>
      <w:tr w:rsidR="00876829" w:rsidRPr="00876829" w14:paraId="743CA69C" w14:textId="77777777" w:rsidTr="004A07D4">
        <w:trPr>
          <w:trHeight w:val="780"/>
        </w:trPr>
        <w:tc>
          <w:tcPr>
            <w:tcW w:w="2520" w:type="dxa"/>
            <w:tcBorders>
              <w:top w:val="nil"/>
              <w:left w:val="nil"/>
              <w:bottom w:val="single" w:sz="4" w:space="0" w:color="auto"/>
              <w:right w:val="nil"/>
            </w:tcBorders>
            <w:vAlign w:val="center"/>
          </w:tcPr>
          <w:p w14:paraId="6245E11A"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Time Counter</w:t>
            </w:r>
          </w:p>
        </w:tc>
        <w:tc>
          <w:tcPr>
            <w:tcW w:w="3200" w:type="dxa"/>
            <w:tcBorders>
              <w:top w:val="nil"/>
              <w:left w:val="nil"/>
              <w:bottom w:val="single" w:sz="4" w:space="0" w:color="auto"/>
              <w:right w:val="nil"/>
            </w:tcBorders>
            <w:vAlign w:val="center"/>
          </w:tcPr>
          <w:p w14:paraId="2DD97B50" w14:textId="77777777" w:rsidR="00876829" w:rsidRPr="00876829" w:rsidRDefault="00876829" w:rsidP="00876829">
            <w:pPr>
              <w:spacing w:after="0" w:line="480" w:lineRule="auto"/>
              <w:rPr>
                <w:rFonts w:ascii="Times New Roman" w:eastAsia="Times New Roman" w:hAnsi="Times New Roman" w:cs="Times New Roman"/>
                <w:sz w:val="24"/>
                <w:szCs w:val="20"/>
              </w:rPr>
            </w:pPr>
          </w:p>
        </w:tc>
        <w:tc>
          <w:tcPr>
            <w:tcW w:w="4700" w:type="dxa"/>
            <w:tcBorders>
              <w:top w:val="nil"/>
              <w:left w:val="nil"/>
              <w:bottom w:val="single" w:sz="4" w:space="0" w:color="auto"/>
              <w:right w:val="nil"/>
            </w:tcBorders>
            <w:vAlign w:val="center"/>
          </w:tcPr>
          <w:p w14:paraId="0B5C6FE0" w14:textId="77777777" w:rsidR="00876829" w:rsidRPr="00876829" w:rsidRDefault="00876829" w:rsidP="00876829">
            <w:pPr>
              <w:spacing w:after="0" w:line="480" w:lineRule="auto"/>
              <w:rPr>
                <w:rFonts w:ascii="Times New Roman" w:eastAsia="Times New Roman" w:hAnsi="Times New Roman" w:cs="Times New Roman"/>
                <w:sz w:val="24"/>
                <w:szCs w:val="20"/>
              </w:rPr>
            </w:pPr>
            <w:r w:rsidRPr="00876829">
              <w:rPr>
                <w:rFonts w:ascii="Times New Roman" w:eastAsia="Times New Roman" w:hAnsi="Times New Roman" w:cs="Times New Roman"/>
                <w:sz w:val="24"/>
                <w:szCs w:val="20"/>
              </w:rPr>
              <w:t>Time counter for each decade</w:t>
            </w:r>
          </w:p>
        </w:tc>
      </w:tr>
    </w:tbl>
    <w:p w14:paraId="683DC685" w14:textId="77777777" w:rsidR="00876829" w:rsidRPr="002D6781" w:rsidRDefault="00876829" w:rsidP="00E6073A">
      <w:pPr>
        <w:pStyle w:val="NoSpacing"/>
        <w:rPr>
          <w:rFonts w:ascii="Times New Roman" w:hAnsi="Times New Roman" w:cs="Times New Roman"/>
          <w:sz w:val="24"/>
          <w:szCs w:val="24"/>
        </w:rPr>
      </w:pPr>
    </w:p>
    <w:p w14:paraId="0C307274" w14:textId="77777777" w:rsidR="005A15AB" w:rsidRDefault="005A15AB" w:rsidP="005A15AB">
      <w:pPr>
        <w:spacing w:line="240" w:lineRule="auto"/>
        <w:rPr>
          <w:rFonts w:ascii="Times New Roman" w:hAnsi="Times New Roman" w:cs="Times New Roman"/>
          <w:sz w:val="24"/>
          <w:szCs w:val="24"/>
        </w:rPr>
      </w:pPr>
    </w:p>
    <w:sectPr w:rsidR="005A15AB">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ECB9C3" w14:textId="77777777" w:rsidR="00406647" w:rsidRDefault="00406647" w:rsidP="00EE7075">
      <w:pPr>
        <w:spacing w:after="0" w:line="240" w:lineRule="auto"/>
      </w:pPr>
      <w:r>
        <w:separator/>
      </w:r>
    </w:p>
  </w:endnote>
  <w:endnote w:type="continuationSeparator" w:id="0">
    <w:p w14:paraId="3722FDA6" w14:textId="77777777" w:rsidR="00406647" w:rsidRDefault="00406647" w:rsidP="00EE7075">
      <w:pPr>
        <w:spacing w:after="0" w:line="240" w:lineRule="auto"/>
      </w:pPr>
      <w:r>
        <w:continuationSeparator/>
      </w:r>
    </w:p>
  </w:endnote>
  <w:endnote w:id="1">
    <w:p w14:paraId="55D09E64" w14:textId="297FDFCA" w:rsidR="00C52205" w:rsidRDefault="00C52205" w:rsidP="00876829">
      <w:pPr>
        <w:pStyle w:val="N"/>
      </w:pPr>
      <w:r w:rsidRPr="0037761C">
        <w:rPr>
          <w:rStyle w:val="EndnoteReference"/>
        </w:rPr>
        <w:endnoteRef/>
      </w:r>
      <w:r>
        <w:t xml:space="preserve"> Barbieri, K. &amp; Keshk, O. (2012). Correlates of war project trade data set codebook, version 3.0. Retrieved from http://correlatesofwar.org.</w:t>
      </w:r>
    </w:p>
  </w:endnote>
  <w:endnote w:id="2">
    <w:p w14:paraId="3F593593" w14:textId="77777777" w:rsidR="00C52205" w:rsidRDefault="00C52205" w:rsidP="00876829">
      <w:pPr>
        <w:pStyle w:val="N"/>
      </w:pPr>
      <w:r w:rsidRPr="0037761C">
        <w:rPr>
          <w:rStyle w:val="EndnoteReference"/>
        </w:rPr>
        <w:endnoteRef/>
      </w:r>
      <w:r>
        <w:t xml:space="preserve"> Barbieri, K., Omar, M., Keshk, G., &amp; Pollins, B. (2009). </w:t>
      </w:r>
      <w:r w:rsidRPr="0037415B">
        <w:t>TRADING DATA: Evaluating our assumptions and coding rules</w:t>
      </w:r>
      <w:r>
        <w:t>.</w:t>
      </w:r>
      <w:r w:rsidRPr="00B27AE4">
        <w:rPr>
          <w:i/>
        </w:rPr>
        <w:t xml:space="preserve"> Conflict Management and Peace Science</w:t>
      </w:r>
      <w:r>
        <w:t xml:space="preserve">, </w:t>
      </w:r>
      <w:r w:rsidRPr="002A0821">
        <w:rPr>
          <w:i/>
        </w:rPr>
        <w:t>26</w:t>
      </w:r>
      <w:r>
        <w:t>, 471–491.</w:t>
      </w:r>
    </w:p>
  </w:endnote>
  <w:endnote w:id="3">
    <w:p w14:paraId="5C691AAC" w14:textId="77777777" w:rsidR="00C52205" w:rsidRDefault="00C52205" w:rsidP="00876829">
      <w:pPr>
        <w:pStyle w:val="N"/>
      </w:pPr>
      <w:r w:rsidRPr="0037761C">
        <w:rPr>
          <w:rStyle w:val="EndnoteReference"/>
        </w:rPr>
        <w:endnoteRef/>
      </w:r>
      <w:r>
        <w:t xml:space="preserve"> Marshall, M.G., Gurr, T.R., and Jaggers, K. (2016). Polity IV project: Political regime characteristics and transitions, 1800–2015—Annual Time-Series Dataset. Vienna, VA: Center for Systemic Peace.</w:t>
      </w:r>
    </w:p>
  </w:endnote>
  <w:endnote w:id="4">
    <w:p w14:paraId="47312342" w14:textId="77777777" w:rsidR="00C52205" w:rsidRDefault="00C52205" w:rsidP="00876829">
      <w:pPr>
        <w:pStyle w:val="N"/>
      </w:pPr>
      <w:r w:rsidRPr="0037761C">
        <w:rPr>
          <w:rStyle w:val="EndnoteReference"/>
        </w:rPr>
        <w:endnoteRef/>
      </w:r>
      <w:r>
        <w:t xml:space="preserve"> Gibler, D. M. (2009). </w:t>
      </w:r>
      <w:r w:rsidRPr="00B27AE4">
        <w:rPr>
          <w:i/>
        </w:rPr>
        <w:t xml:space="preserve">International military alliances, </w:t>
      </w:r>
      <w:r w:rsidRPr="002A0821">
        <w:rPr>
          <w:i/>
        </w:rPr>
        <w:t>1648–2008</w:t>
      </w:r>
      <w:r>
        <w:t>. Washington, DC: CQ Press.</w:t>
      </w:r>
    </w:p>
  </w:endnote>
  <w:endnote w:id="5">
    <w:p w14:paraId="43226E99" w14:textId="77777777" w:rsidR="00C52205" w:rsidRDefault="00C52205" w:rsidP="00876829">
      <w:pPr>
        <w:pStyle w:val="N"/>
      </w:pPr>
      <w:r w:rsidRPr="0037761C">
        <w:rPr>
          <w:rStyle w:val="EndnoteReference"/>
        </w:rPr>
        <w:endnoteRef/>
      </w:r>
      <w:r>
        <w:t xml:space="preserve"> Gibler, D. M., &amp; Miller, S.V. (2014). External territorial threat, state capacity, and civil war. </w:t>
      </w:r>
      <w:r w:rsidRPr="00B27AE4">
        <w:rPr>
          <w:i/>
        </w:rPr>
        <w:t>Journal of Peace Research</w:t>
      </w:r>
      <w:r>
        <w:t xml:space="preserve">, </w:t>
      </w:r>
      <w:r w:rsidRPr="002A0821">
        <w:rPr>
          <w:i/>
        </w:rPr>
        <w:t>51</w:t>
      </w:r>
      <w:r>
        <w:t>, 634–646.</w:t>
      </w:r>
    </w:p>
  </w:endnote>
  <w:endnote w:id="6">
    <w:p w14:paraId="1AF9B256" w14:textId="77777777" w:rsidR="00C52205" w:rsidRPr="00762A95" w:rsidRDefault="00C52205" w:rsidP="00876829">
      <w:pPr>
        <w:pStyle w:val="N"/>
        <w:rPr>
          <w:szCs w:val="22"/>
        </w:rPr>
      </w:pPr>
      <w:r w:rsidRPr="00B27AE4">
        <w:rPr>
          <w:rStyle w:val="EndnoteReference"/>
          <w:sz w:val="20"/>
        </w:rPr>
        <w:endnoteRef/>
      </w:r>
      <w:r w:rsidRPr="0065516C">
        <w:rPr>
          <w:sz w:val="20"/>
        </w:rPr>
        <w:t xml:space="preserve"> </w:t>
      </w:r>
      <w:r w:rsidRPr="009D07C6">
        <w:rPr>
          <w:szCs w:val="22"/>
        </w:rPr>
        <w:t>Formal Intergovernmental Organizations dataset, http://www.u.arizona.edu/~volgy/FIGO.pdf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ode">
    <w:altName w:val="Code"/>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455595"/>
      <w:docPartObj>
        <w:docPartGallery w:val="Page Numbers (Bottom of Page)"/>
        <w:docPartUnique/>
      </w:docPartObj>
    </w:sdtPr>
    <w:sdtEndPr>
      <w:rPr>
        <w:noProof/>
      </w:rPr>
    </w:sdtEndPr>
    <w:sdtContent>
      <w:p w14:paraId="2121CCC6" w14:textId="4BAD892A" w:rsidR="00C52205" w:rsidRDefault="00C52205">
        <w:pPr>
          <w:pStyle w:val="Footer"/>
          <w:jc w:val="right"/>
        </w:pPr>
        <w:r>
          <w:fldChar w:fldCharType="begin"/>
        </w:r>
        <w:r>
          <w:instrText xml:space="preserve"> PAGE   \* MERGEFORMAT </w:instrText>
        </w:r>
        <w:r>
          <w:fldChar w:fldCharType="separate"/>
        </w:r>
        <w:r w:rsidR="00655D9A">
          <w:rPr>
            <w:noProof/>
          </w:rPr>
          <w:t>4</w:t>
        </w:r>
        <w:r>
          <w:rPr>
            <w:noProof/>
          </w:rPr>
          <w:fldChar w:fldCharType="end"/>
        </w:r>
      </w:p>
    </w:sdtContent>
  </w:sdt>
  <w:p w14:paraId="28B97B68" w14:textId="77777777" w:rsidR="00C52205" w:rsidRDefault="00C52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E1AAC1" w14:textId="77777777" w:rsidR="00406647" w:rsidRDefault="00406647" w:rsidP="00EE7075">
      <w:pPr>
        <w:spacing w:after="0" w:line="240" w:lineRule="auto"/>
      </w:pPr>
      <w:r>
        <w:separator/>
      </w:r>
    </w:p>
  </w:footnote>
  <w:footnote w:type="continuationSeparator" w:id="0">
    <w:p w14:paraId="56F80C00" w14:textId="77777777" w:rsidR="00406647" w:rsidRDefault="00406647" w:rsidP="00EE7075">
      <w:pPr>
        <w:spacing w:after="0" w:line="240" w:lineRule="auto"/>
      </w:pPr>
      <w:r>
        <w:continuationSeparator/>
      </w:r>
    </w:p>
  </w:footnote>
  <w:footnote w:id="1">
    <w:p w14:paraId="0B178A96" w14:textId="1BA8D39D" w:rsidR="00C52205" w:rsidRDefault="00C52205">
      <w:pPr>
        <w:pStyle w:val="FootnoteText"/>
      </w:pPr>
      <w:r>
        <w:rPr>
          <w:rStyle w:val="FootnoteReference"/>
        </w:rPr>
        <w:footnoteRef/>
      </w:r>
      <w:r>
        <w:t xml:space="preserve"> For an example of a comparative perspective explicitly rejecting Middle East “exceptionalism”, see Sorli et al. (2005).</w:t>
      </w:r>
    </w:p>
  </w:footnote>
  <w:footnote w:id="2">
    <w:p w14:paraId="20EDE4B5" w14:textId="730179EF" w:rsidR="00C52205" w:rsidRDefault="00C52205">
      <w:pPr>
        <w:pStyle w:val="FootnoteText"/>
      </w:pPr>
      <w:r>
        <w:rPr>
          <w:rStyle w:val="FootnoteReference"/>
        </w:rPr>
        <w:footnoteRef/>
      </w:r>
      <w:r>
        <w:t xml:space="preserve"> Either directly by diffusion/emulation, or through substantial refugee flows into the neighborhood (e.g., Salehyan and Gleditsch 2006).</w:t>
      </w:r>
    </w:p>
  </w:footnote>
  <w:footnote w:id="3">
    <w:p w14:paraId="616BC679" w14:textId="0038D36F" w:rsidR="00C52205" w:rsidRDefault="00C52205">
      <w:pPr>
        <w:pStyle w:val="FootnoteText"/>
      </w:pPr>
      <w:r>
        <w:rPr>
          <w:rStyle w:val="FootnoteReference"/>
        </w:rPr>
        <w:footnoteRef/>
      </w:r>
      <w:r>
        <w:t xml:space="preserve"> We recognize the Kantian peace (e.g., Oneill et al. 1999), and especially its democratic peace component, is challenged by the “capitalist” peace (e.g., Gartzke 2007) and the “territorial peace” (e.g., Gibler 2012), and that all three forms may be linked to prior dynamics created by dominant global powers (e.g., Rasler and Thompson 2005). However, note that all four conditions are included to some extent in our framework.</w:t>
      </w:r>
    </w:p>
  </w:footnote>
  <w:footnote w:id="4">
    <w:p w14:paraId="7EA9FE2C" w14:textId="0708EF6C" w:rsidR="00C52205" w:rsidRDefault="00C52205">
      <w:pPr>
        <w:pStyle w:val="FootnoteText"/>
      </w:pPr>
      <w:r>
        <w:rPr>
          <w:rStyle w:val="FootnoteReference"/>
        </w:rPr>
        <w:footnoteRef/>
      </w:r>
      <w:r>
        <w:t xml:space="preserve"> It is difficult to dismiss, for example, the counterfactual of how different relations would look in today’s Middle East had the U.S. not engaged in the second war against Iraq, starting in 2003, or if Russia had not come to the aid of the Assad regime as it fought its civil war in Syria. Nor have researchers plotted out the cumulative impact of Chinese involvement in Sub-Saharan Africa from a regional, rather than a great power perspective (e.g., Gao 2017).</w:t>
      </w:r>
    </w:p>
  </w:footnote>
  <w:footnote w:id="5">
    <w:p w14:paraId="5A88E59A" w14:textId="1E3F6B0D" w:rsidR="00C52205" w:rsidRDefault="00C52205">
      <w:pPr>
        <w:pStyle w:val="FootnoteText"/>
      </w:pPr>
      <w:r>
        <w:rPr>
          <w:rStyle w:val="FootnoteReference"/>
        </w:rPr>
        <w:footnoteRef/>
      </w:r>
      <w:r>
        <w:t xml:space="preserve"> Literature on the salience of hierarchy for international politics and inter-state relations are highlighted in Lake (2017), Milner (1991), and Bially Mattern and Zarakol (2016). The extent to which a region can fluctuate between anarchy and hierarchy is demonstrated by Butt (2016).</w:t>
      </w:r>
    </w:p>
  </w:footnote>
  <w:footnote w:id="6">
    <w:p w14:paraId="50DD3C75" w14:textId="77777777" w:rsidR="00C52205" w:rsidRDefault="00C52205">
      <w:pPr>
        <w:pStyle w:val="FootnoteText"/>
      </w:pPr>
      <w:r>
        <w:rPr>
          <w:rStyle w:val="FootnoteReference"/>
        </w:rPr>
        <w:footnoteRef/>
      </w:r>
      <w:r>
        <w:t xml:space="preserve"> The concepts, their operationalization, and sources used are detailed in Appendix A.</w:t>
      </w:r>
    </w:p>
  </w:footnote>
  <w:footnote w:id="7">
    <w:p w14:paraId="5265237A" w14:textId="7C675317" w:rsidR="00C52205" w:rsidRDefault="00C52205">
      <w:pPr>
        <w:pStyle w:val="FootnoteText"/>
      </w:pPr>
      <w:r>
        <w:rPr>
          <w:rStyle w:val="FootnoteReference"/>
        </w:rPr>
        <w:footnoteRef/>
      </w:r>
      <w:r>
        <w:t xml:space="preserve"> Clearly this is not the only definition of what constitutes a region. In fact, there is no consensus nor a “gold standard” defining and empirically identifying the contours of regions (Volgy et al. 2017a), nor has there been one (Thompson 1973).</w:t>
      </w:r>
    </w:p>
  </w:footnote>
  <w:footnote w:id="8">
    <w:p w14:paraId="745C2266" w14:textId="5D069EFD" w:rsidR="00C52205" w:rsidRDefault="00C52205">
      <w:pPr>
        <w:pStyle w:val="FootnoteText"/>
      </w:pPr>
      <w:r>
        <w:rPr>
          <w:rStyle w:val="FootnoteReference"/>
        </w:rPr>
        <w:footnoteRef/>
      </w:r>
      <w:r>
        <w:t xml:space="preserve"> For a full list of the regions, the states they contain, and how they change across decades, see Volgy et al. (2017b).</w:t>
      </w:r>
    </w:p>
  </w:footnote>
  <w:footnote w:id="9">
    <w:p w14:paraId="0D0EEA65" w14:textId="77777777" w:rsidR="00C52205" w:rsidRDefault="00C52205">
      <w:pPr>
        <w:pStyle w:val="FootnoteText"/>
      </w:pPr>
      <w:r>
        <w:rPr>
          <w:rStyle w:val="FootnoteReference"/>
        </w:rPr>
        <w:footnoteRef/>
      </w:r>
      <w:r>
        <w:t xml:space="preserve"> For instance, we note the formation of a Central Asian region in the 1990s; that “region” seems to have disappeared in the first decade of the 2000s.</w:t>
      </w:r>
    </w:p>
  </w:footnote>
  <w:footnote w:id="10">
    <w:p w14:paraId="1042EDD3" w14:textId="0BF053B6" w:rsidR="00C52205" w:rsidRDefault="00C52205">
      <w:pPr>
        <w:pStyle w:val="FootnoteText"/>
      </w:pPr>
      <w:r>
        <w:rPr>
          <w:rStyle w:val="FootnoteReference"/>
        </w:rPr>
        <w:footnoteRef/>
      </w:r>
      <w:r>
        <w:t xml:space="preserve"> These states are typically “microstates” and/or relatively inactive states in international politics.</w:t>
      </w:r>
    </w:p>
  </w:footnote>
  <w:footnote w:id="11">
    <w:p w14:paraId="72AA75EA" w14:textId="313C1D06" w:rsidR="00C52205" w:rsidRDefault="00C52205">
      <w:pPr>
        <w:pStyle w:val="FootnoteText"/>
      </w:pPr>
      <w:r>
        <w:rPr>
          <w:rStyle w:val="FootnoteReference"/>
        </w:rPr>
        <w:footnoteRef/>
      </w:r>
      <w:r>
        <w:t xml:space="preserve"> </w:t>
      </w:r>
      <w:r w:rsidRPr="005C019D">
        <w:t>This judgement is based on a survey of contemporary international relations literature using political shocks either as an independent or dependent va</w:t>
      </w:r>
      <w:r>
        <w:t>riable of interest (Gordell 2017</w:t>
      </w:r>
      <w:r w:rsidRPr="005C019D">
        <w:t>).</w:t>
      </w:r>
      <w:r>
        <w:t xml:space="preserve"> </w:t>
      </w:r>
      <w:r w:rsidRPr="005C019D">
        <w:t>T</w:t>
      </w:r>
      <w:r>
        <w:t>he</w:t>
      </w:r>
      <w:r w:rsidRPr="005C019D">
        <w:t xml:space="preserve"> survey included publications in fourteen leading journals between 2005-2016.</w:t>
      </w:r>
    </w:p>
  </w:footnote>
  <w:footnote w:id="12">
    <w:p w14:paraId="0931EA6A" w14:textId="682CE5FF" w:rsidR="00C52205" w:rsidRPr="00677590" w:rsidRDefault="00C52205" w:rsidP="009D0D77">
      <w:pPr>
        <w:pStyle w:val="FootnoteText"/>
        <w:rPr>
          <w:rFonts w:cstheme="minorHAnsi"/>
        </w:rPr>
      </w:pPr>
      <w:r>
        <w:rPr>
          <w:rStyle w:val="FootnoteReference"/>
        </w:rPr>
        <w:footnoteRef/>
      </w:r>
      <w:r>
        <w:t xml:space="preserve"> </w:t>
      </w:r>
      <w:r w:rsidRPr="00677590">
        <w:rPr>
          <w:rFonts w:cstheme="minorHAnsi"/>
        </w:rPr>
        <w:t>The difference between the two is statistically significant.</w:t>
      </w:r>
    </w:p>
  </w:footnote>
  <w:footnote w:id="13">
    <w:p w14:paraId="14F20440" w14:textId="37A85DB3" w:rsidR="00C52205" w:rsidRDefault="00C52205" w:rsidP="00B30311">
      <w:pPr>
        <w:pStyle w:val="CommentText"/>
      </w:pPr>
      <w:r>
        <w:rPr>
          <w:rStyle w:val="FootnoteReference"/>
        </w:rPr>
        <w:footnoteRef/>
      </w:r>
      <w:r>
        <w:t xml:space="preserve"> Notes: the unit of analysis is region year; we control for region size in our dependent variable; and the independent variables are lagged by one year. The variable for trade interdependence is omitted from the ‘Major Power Presence’ model due to collinearity issues.  For a greater consideration of this problem, see, Volgy et al. (2017b).</w:t>
      </w:r>
    </w:p>
    <w:p w14:paraId="107A900A" w14:textId="474ABB6A" w:rsidR="00C52205" w:rsidRDefault="00C52205">
      <w:pPr>
        <w:pStyle w:val="FootnoteText"/>
      </w:pPr>
    </w:p>
  </w:footnote>
  <w:footnote w:id="14">
    <w:p w14:paraId="17BFE867" w14:textId="54AF98D3" w:rsidR="00C52205" w:rsidRPr="007A5EEE" w:rsidRDefault="00C52205">
      <w:pPr>
        <w:pStyle w:val="FootnoteText"/>
      </w:pPr>
      <w:r w:rsidRPr="007A5EEE">
        <w:rPr>
          <w:rStyle w:val="FootnoteReference"/>
        </w:rPr>
        <w:footnoteRef/>
      </w:r>
      <w:r w:rsidRPr="007A5EEE">
        <w:t xml:space="preserve"> </w:t>
      </w:r>
      <w:r w:rsidRPr="007A5EEE">
        <w:rPr>
          <w:rFonts w:ascii="Times New Roman" w:hAnsi="Times New Roman" w:cs="Times New Roman"/>
        </w:rPr>
        <w:t>Similar, but slightly weaker, patterns are observed for the presence of a regional power in a region so we omit its discussion for the sake of brevity</w:t>
      </w:r>
      <w:r>
        <w:rPr>
          <w:rFonts w:ascii="Times New Roman" w:hAnsi="Times New Roman" w:cs="Times New Roman"/>
        </w:rPr>
        <w:t>.</w:t>
      </w:r>
    </w:p>
  </w:footnote>
  <w:footnote w:id="15">
    <w:p w14:paraId="48F49730" w14:textId="7CDAAA39" w:rsidR="00C52205" w:rsidRDefault="00C52205">
      <w:pPr>
        <w:pStyle w:val="FootnoteText"/>
      </w:pPr>
      <w:r>
        <w:rPr>
          <w:rStyle w:val="FootnoteReference"/>
        </w:rPr>
        <w:footnoteRef/>
      </w:r>
      <w:r>
        <w:t xml:space="preserve"> In a previous review of empirical literature over the last decade (Volgy et al. 2017a), we found that virtually all large-N empirical analyses that controlled for region in dyadic analyses found the Middle East variable, regardless of how the Middle East was delineated, to exhibit patterns that were statistically significantly different from the “base” region, and regardless of which region was used as the base.</w:t>
      </w:r>
    </w:p>
  </w:footnote>
  <w:footnote w:id="16">
    <w:p w14:paraId="43534903" w14:textId="0004FD0C" w:rsidR="00C52205" w:rsidRDefault="00C52205" w:rsidP="00876829">
      <w:pPr>
        <w:pStyle w:val="FootnoteText"/>
      </w:pPr>
      <w:r>
        <w:rPr>
          <w:rStyle w:val="FootnoteReference"/>
        </w:rPr>
        <w:footnoteRef/>
      </w:r>
      <w:r>
        <w:t xml:space="preserve"> Rivalry density scores are created using the total number of rival-dyads within a region, multiplied by the total number of connections, or linkages, between rival-dyads, which is then divided by the total number of states within the region minus one. Linkages are established between rival-dyads that involve a common state-actor. </w:t>
      </w:r>
    </w:p>
  </w:footnote>
  <w:footnote w:id="17">
    <w:p w14:paraId="622C095C" w14:textId="0AC13554" w:rsidR="00C52205" w:rsidRDefault="00C52205">
      <w:pPr>
        <w:pStyle w:val="FootnoteText"/>
      </w:pPr>
      <w:r>
        <w:rPr>
          <w:rStyle w:val="FootnoteReference"/>
        </w:rPr>
        <w:footnoteRef/>
      </w:r>
      <w:r>
        <w:t xml:space="preserve"> The collective average of all other regions varies between approximately 1.92 and 2.41.</w:t>
      </w:r>
    </w:p>
  </w:footnote>
  <w:footnote w:id="18">
    <w:p w14:paraId="0306D1D1" w14:textId="77777777" w:rsidR="00C52205" w:rsidRDefault="00C52205" w:rsidP="00FA5E04">
      <w:pPr>
        <w:pStyle w:val="FootnoteText"/>
      </w:pPr>
      <w:r>
        <w:rPr>
          <w:rStyle w:val="FootnoteReference"/>
        </w:rPr>
        <w:footnoteRef/>
      </w:r>
      <w:r>
        <w:t xml:space="preserve"> To assess the salience of a single variable over time for a region requires the regional delineation remain stable. Therefore, we utilize our delineation of the Middle East region and its state membership from the 2000s as a permanent marker for the entire time frame, making adjustments to regional membership only when a state has no legal status (e.g., Kazakhstan prior to the dissolution of the Soviet Union), or when two or more states integrate or dissolve (e.g., Egypt and Syria).</w:t>
      </w:r>
    </w:p>
  </w:footnote>
  <w:footnote w:id="19">
    <w:p w14:paraId="5B070CF9" w14:textId="60823CA6" w:rsidR="00C52205" w:rsidRDefault="00C52205">
      <w:pPr>
        <w:pStyle w:val="FootnoteText"/>
      </w:pPr>
      <w:r>
        <w:rPr>
          <w:rStyle w:val="FootnoteReference"/>
        </w:rPr>
        <w:footnoteRef/>
      </w:r>
      <w:r>
        <w:t xml:space="preserve"> Note the network figures differ from those contained in the Thompson chapter, and for two reasons. First, we conceptualize the Middle East differently than Thompson as the contours of our region do not include states from North Africa. Second, we include only those rivalries that include the region’s members (e.g., we exclude the U.S./Iran rivalry). </w:t>
      </w:r>
    </w:p>
  </w:footnote>
  <w:footnote w:id="20">
    <w:p w14:paraId="141CA51A" w14:textId="2A07FDEA" w:rsidR="00C52205" w:rsidRDefault="00C52205">
      <w:pPr>
        <w:pStyle w:val="FootnoteText"/>
      </w:pPr>
      <w:r>
        <w:rPr>
          <w:rStyle w:val="FootnoteReference"/>
        </w:rPr>
        <w:footnoteRef/>
      </w:r>
      <w:r>
        <w:t xml:space="preserve"> Turkey could be added as another regional aspirant if its primary focus of attention becomes the Middle East.</w:t>
      </w:r>
    </w:p>
  </w:footnote>
  <w:footnote w:id="21">
    <w:p w14:paraId="6113D1D8" w14:textId="04FE020B" w:rsidR="00C52205" w:rsidRDefault="00C52205">
      <w:pPr>
        <w:pStyle w:val="FootnoteText"/>
      </w:pPr>
      <w:r>
        <w:rPr>
          <w:rStyle w:val="FootnoteReference"/>
        </w:rPr>
        <w:footnoteRef/>
      </w:r>
      <w:r>
        <w:t xml:space="preserve"> This phenomenon is also illustrated in Figures 10-12.</w:t>
      </w:r>
    </w:p>
  </w:footnote>
  <w:footnote w:id="22">
    <w:p w14:paraId="62BB62DF" w14:textId="5B58FD58" w:rsidR="00C52205" w:rsidRDefault="00C52205">
      <w:pPr>
        <w:pStyle w:val="FootnoteText"/>
      </w:pPr>
      <w:r>
        <w:rPr>
          <w:rStyle w:val="FootnoteReference"/>
        </w:rPr>
        <w:footnoteRef/>
      </w:r>
      <w:r>
        <w:t xml:space="preserve"> Thompson (2018) makes a similar point in arguing that domestic conflicts and especially civil wars have become more prevalent in the region as the rivalry field simplifies. We agree but our framework would suggest such a shift to intra-state conflict can ultimately result in increased intra-state conflict in others as well, and also enhanced inter-state conflict through refugee flows, greater external involvement by outside powers, and the rise of non-state actors violently participating in ongoing rivalries. Certainly the civil conflicts in Iraq, Syria, and Yemen suggest such possibilities.</w:t>
      </w:r>
    </w:p>
  </w:footnote>
  <w:footnote w:id="23">
    <w:p w14:paraId="63272C6A" w14:textId="08C934C9" w:rsidR="00C52205" w:rsidRDefault="00C52205">
      <w:pPr>
        <w:pStyle w:val="FootnoteText"/>
      </w:pPr>
      <w:r>
        <w:rPr>
          <w:rStyle w:val="FootnoteReference"/>
        </w:rPr>
        <w:footnoteRef/>
      </w:r>
      <w:r>
        <w:t xml:space="preserve"> For one promising direction in assessing external shocks, see Maoz and Joyce (2016).</w:t>
      </w:r>
    </w:p>
  </w:footnote>
  <w:footnote w:id="24">
    <w:p w14:paraId="6F22A302" w14:textId="3B1ECDE0" w:rsidR="00C52205" w:rsidRDefault="00C52205" w:rsidP="00991C58">
      <w:pPr>
        <w:pStyle w:val="FootnoteText"/>
      </w:pPr>
      <w:r>
        <w:rPr>
          <w:rStyle w:val="FootnoteReference"/>
        </w:rPr>
        <w:footnoteRef/>
      </w:r>
      <w:r>
        <w:t xml:space="preserve"> For example, we had some difficulty classifying regional wars. Did all such wars constitute shocks to the region? Are some wars more expected than others? Do some wars, long in duration, such as the Iran-Iraq war, begin to seem normal?</w:t>
      </w:r>
    </w:p>
  </w:footnote>
  <w:footnote w:id="25">
    <w:p w14:paraId="1D83394C" w14:textId="1EF2B4BD" w:rsidR="00C52205" w:rsidRDefault="00C52205">
      <w:pPr>
        <w:pStyle w:val="FootnoteText"/>
      </w:pPr>
      <w:r>
        <w:rPr>
          <w:rStyle w:val="FootnoteReference"/>
        </w:rPr>
        <w:footnoteRef/>
      </w:r>
      <w:r>
        <w:t xml:space="preserve"> Note that our measure of conflict is frequency of severe MIDs between states in a region, which excludes non-state actors that are not acting in behalf of a particular state. Inclusion of semi-autonomous non-state actors into the region’s rivalry field could substantially change our estimates of how much smaller that field is today, compared to previous decades. </w:t>
      </w:r>
    </w:p>
  </w:footnote>
  <w:footnote w:id="26">
    <w:p w14:paraId="74CF690B" w14:textId="0EABB19C" w:rsidR="00C52205" w:rsidRDefault="00C52205">
      <w:pPr>
        <w:pStyle w:val="FootnoteText"/>
      </w:pPr>
      <w:r>
        <w:rPr>
          <w:rStyle w:val="FootnoteReference"/>
        </w:rPr>
        <w:footnoteRef/>
      </w:r>
      <w:r>
        <w:t xml:space="preserve"> The one exception to this generalization is the case of South Asia, where the regional power (India) is itself engaged in a long, ongoing rivalry.</w:t>
      </w:r>
    </w:p>
  </w:footnote>
  <w:footnote w:id="27">
    <w:p w14:paraId="088BBA4D" w14:textId="77777777" w:rsidR="00C52205" w:rsidRPr="001D34DD" w:rsidRDefault="00C52205" w:rsidP="001D34DD">
      <w:pPr>
        <w:pStyle w:val="NoSpacing"/>
        <w:rPr>
          <w:sz w:val="20"/>
          <w:szCs w:val="20"/>
        </w:rPr>
      </w:pPr>
      <w:r w:rsidRPr="001D34DD">
        <w:rPr>
          <w:rStyle w:val="FootnoteReference"/>
          <w:sz w:val="20"/>
          <w:szCs w:val="20"/>
        </w:rPr>
        <w:footnoteRef/>
      </w:r>
      <w:r w:rsidRPr="001D34DD">
        <w:rPr>
          <w:sz w:val="20"/>
          <w:szCs w:val="20"/>
        </w:rPr>
        <w:t xml:space="preserve"> In an earlier time, U.S. efforts that resulted in the Camp David accords also virtually guaranteed that Egypt would not be able to emerge as a regional power either. </w:t>
      </w:r>
    </w:p>
    <w:p w14:paraId="5EC31187" w14:textId="79870545" w:rsidR="00C52205" w:rsidRDefault="00C52205">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621144"/>
    <w:multiLevelType w:val="hybridMultilevel"/>
    <w:tmpl w:val="FDF89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1E34B0"/>
    <w:multiLevelType w:val="hybridMultilevel"/>
    <w:tmpl w:val="1826D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E06"/>
    <w:rsid w:val="0000434B"/>
    <w:rsid w:val="00004958"/>
    <w:rsid w:val="00007FA2"/>
    <w:rsid w:val="000135E4"/>
    <w:rsid w:val="00013968"/>
    <w:rsid w:val="0002103F"/>
    <w:rsid w:val="000210B9"/>
    <w:rsid w:val="000313D8"/>
    <w:rsid w:val="000353C7"/>
    <w:rsid w:val="000374BB"/>
    <w:rsid w:val="000375EB"/>
    <w:rsid w:val="000416F4"/>
    <w:rsid w:val="00047975"/>
    <w:rsid w:val="00054DEB"/>
    <w:rsid w:val="00083EC1"/>
    <w:rsid w:val="00086ADE"/>
    <w:rsid w:val="000A3D72"/>
    <w:rsid w:val="000A3DD1"/>
    <w:rsid w:val="000A3DFB"/>
    <w:rsid w:val="000C06F3"/>
    <w:rsid w:val="000C41AF"/>
    <w:rsid w:val="000C6843"/>
    <w:rsid w:val="000C7B28"/>
    <w:rsid w:val="000D7549"/>
    <w:rsid w:val="000E36B2"/>
    <w:rsid w:val="000E385F"/>
    <w:rsid w:val="000E4508"/>
    <w:rsid w:val="000E734F"/>
    <w:rsid w:val="000F4B45"/>
    <w:rsid w:val="00101909"/>
    <w:rsid w:val="0010239A"/>
    <w:rsid w:val="001065CE"/>
    <w:rsid w:val="00120424"/>
    <w:rsid w:val="00122D28"/>
    <w:rsid w:val="00125323"/>
    <w:rsid w:val="00125620"/>
    <w:rsid w:val="001264C1"/>
    <w:rsid w:val="00126787"/>
    <w:rsid w:val="001415A3"/>
    <w:rsid w:val="001422FD"/>
    <w:rsid w:val="0015529D"/>
    <w:rsid w:val="00157DF9"/>
    <w:rsid w:val="00165C82"/>
    <w:rsid w:val="0016791F"/>
    <w:rsid w:val="00171479"/>
    <w:rsid w:val="00174C85"/>
    <w:rsid w:val="00186906"/>
    <w:rsid w:val="001872C8"/>
    <w:rsid w:val="00192AC8"/>
    <w:rsid w:val="00193F2B"/>
    <w:rsid w:val="001A611F"/>
    <w:rsid w:val="001B4EDF"/>
    <w:rsid w:val="001B598C"/>
    <w:rsid w:val="001B7772"/>
    <w:rsid w:val="001D09A8"/>
    <w:rsid w:val="001D34DD"/>
    <w:rsid w:val="001D3B31"/>
    <w:rsid w:val="001D6A85"/>
    <w:rsid w:val="001E09DA"/>
    <w:rsid w:val="001E2C26"/>
    <w:rsid w:val="001E3E66"/>
    <w:rsid w:val="001E4EFA"/>
    <w:rsid w:val="001E6B0D"/>
    <w:rsid w:val="001F128F"/>
    <w:rsid w:val="001F2258"/>
    <w:rsid w:val="001F48C8"/>
    <w:rsid w:val="001F6678"/>
    <w:rsid w:val="001F72FF"/>
    <w:rsid w:val="00210C20"/>
    <w:rsid w:val="002140DF"/>
    <w:rsid w:val="00223375"/>
    <w:rsid w:val="002314F5"/>
    <w:rsid w:val="00236B8B"/>
    <w:rsid w:val="00247CF0"/>
    <w:rsid w:val="0025609D"/>
    <w:rsid w:val="00257CB8"/>
    <w:rsid w:val="0026642D"/>
    <w:rsid w:val="0027301D"/>
    <w:rsid w:val="00277797"/>
    <w:rsid w:val="00285549"/>
    <w:rsid w:val="002865C4"/>
    <w:rsid w:val="002866F5"/>
    <w:rsid w:val="0029215B"/>
    <w:rsid w:val="002A357F"/>
    <w:rsid w:val="002A647A"/>
    <w:rsid w:val="002B5B02"/>
    <w:rsid w:val="002C03E6"/>
    <w:rsid w:val="002C4E37"/>
    <w:rsid w:val="002C59FF"/>
    <w:rsid w:val="002D4F55"/>
    <w:rsid w:val="002D50E9"/>
    <w:rsid w:val="002E030C"/>
    <w:rsid w:val="002F14C7"/>
    <w:rsid w:val="002F182F"/>
    <w:rsid w:val="002F1FBA"/>
    <w:rsid w:val="002F46C7"/>
    <w:rsid w:val="0030166B"/>
    <w:rsid w:val="00311AF6"/>
    <w:rsid w:val="00313E2E"/>
    <w:rsid w:val="003141F2"/>
    <w:rsid w:val="00315DD9"/>
    <w:rsid w:val="00316200"/>
    <w:rsid w:val="003166A9"/>
    <w:rsid w:val="00316B8C"/>
    <w:rsid w:val="00317EFA"/>
    <w:rsid w:val="003307D9"/>
    <w:rsid w:val="00332845"/>
    <w:rsid w:val="00337C58"/>
    <w:rsid w:val="00341992"/>
    <w:rsid w:val="003503F1"/>
    <w:rsid w:val="003614AD"/>
    <w:rsid w:val="00367B50"/>
    <w:rsid w:val="003740CE"/>
    <w:rsid w:val="003759B5"/>
    <w:rsid w:val="00380399"/>
    <w:rsid w:val="00396F16"/>
    <w:rsid w:val="003A520D"/>
    <w:rsid w:val="003A5998"/>
    <w:rsid w:val="003B1F6B"/>
    <w:rsid w:val="003B1F8F"/>
    <w:rsid w:val="003B1FB4"/>
    <w:rsid w:val="003B403C"/>
    <w:rsid w:val="003B5B6C"/>
    <w:rsid w:val="003B7702"/>
    <w:rsid w:val="003C753E"/>
    <w:rsid w:val="003D35BA"/>
    <w:rsid w:val="003E49E1"/>
    <w:rsid w:val="003E73C5"/>
    <w:rsid w:val="003F1577"/>
    <w:rsid w:val="003F4443"/>
    <w:rsid w:val="003F5E10"/>
    <w:rsid w:val="00406647"/>
    <w:rsid w:val="00411189"/>
    <w:rsid w:val="00433FC0"/>
    <w:rsid w:val="00444E01"/>
    <w:rsid w:val="00445120"/>
    <w:rsid w:val="004454F1"/>
    <w:rsid w:val="00446543"/>
    <w:rsid w:val="00447621"/>
    <w:rsid w:val="00453B41"/>
    <w:rsid w:val="00455091"/>
    <w:rsid w:val="00462E26"/>
    <w:rsid w:val="00464702"/>
    <w:rsid w:val="00487CA1"/>
    <w:rsid w:val="00491939"/>
    <w:rsid w:val="0049361D"/>
    <w:rsid w:val="004952C3"/>
    <w:rsid w:val="004A07D4"/>
    <w:rsid w:val="004B2B17"/>
    <w:rsid w:val="004B4011"/>
    <w:rsid w:val="004C46B6"/>
    <w:rsid w:val="004C4C85"/>
    <w:rsid w:val="004C4DD5"/>
    <w:rsid w:val="004E5080"/>
    <w:rsid w:val="004E7C15"/>
    <w:rsid w:val="004F0137"/>
    <w:rsid w:val="004F4181"/>
    <w:rsid w:val="00502811"/>
    <w:rsid w:val="00506619"/>
    <w:rsid w:val="005068C4"/>
    <w:rsid w:val="0051020C"/>
    <w:rsid w:val="00513F84"/>
    <w:rsid w:val="00521655"/>
    <w:rsid w:val="005302EC"/>
    <w:rsid w:val="0053642D"/>
    <w:rsid w:val="00540141"/>
    <w:rsid w:val="005424F0"/>
    <w:rsid w:val="00544CBA"/>
    <w:rsid w:val="005464E8"/>
    <w:rsid w:val="005501C0"/>
    <w:rsid w:val="00552A8D"/>
    <w:rsid w:val="00552FA7"/>
    <w:rsid w:val="00555CC1"/>
    <w:rsid w:val="005712C8"/>
    <w:rsid w:val="005762EE"/>
    <w:rsid w:val="00591541"/>
    <w:rsid w:val="005A15AB"/>
    <w:rsid w:val="005A32A0"/>
    <w:rsid w:val="005B4845"/>
    <w:rsid w:val="005B59CE"/>
    <w:rsid w:val="005D3266"/>
    <w:rsid w:val="005D33E8"/>
    <w:rsid w:val="005D364D"/>
    <w:rsid w:val="005D5D6E"/>
    <w:rsid w:val="005D668B"/>
    <w:rsid w:val="005E6578"/>
    <w:rsid w:val="005F4658"/>
    <w:rsid w:val="00605CDA"/>
    <w:rsid w:val="00612116"/>
    <w:rsid w:val="00623437"/>
    <w:rsid w:val="00623F66"/>
    <w:rsid w:val="00636BD8"/>
    <w:rsid w:val="00637C5B"/>
    <w:rsid w:val="00641192"/>
    <w:rsid w:val="00642895"/>
    <w:rsid w:val="0065215D"/>
    <w:rsid w:val="00655D9A"/>
    <w:rsid w:val="0067742A"/>
    <w:rsid w:val="00677590"/>
    <w:rsid w:val="00684CCE"/>
    <w:rsid w:val="00690D5D"/>
    <w:rsid w:val="006914EC"/>
    <w:rsid w:val="006936A8"/>
    <w:rsid w:val="006A78EF"/>
    <w:rsid w:val="006B0CC3"/>
    <w:rsid w:val="006B2C68"/>
    <w:rsid w:val="006B3E06"/>
    <w:rsid w:val="006B4445"/>
    <w:rsid w:val="006B76A6"/>
    <w:rsid w:val="006C1228"/>
    <w:rsid w:val="006C616C"/>
    <w:rsid w:val="006D2653"/>
    <w:rsid w:val="006D7752"/>
    <w:rsid w:val="006E4472"/>
    <w:rsid w:val="006E456F"/>
    <w:rsid w:val="006F0615"/>
    <w:rsid w:val="006F2822"/>
    <w:rsid w:val="006F4C65"/>
    <w:rsid w:val="006F5A3B"/>
    <w:rsid w:val="006F69B1"/>
    <w:rsid w:val="00703FD9"/>
    <w:rsid w:val="00706D2A"/>
    <w:rsid w:val="00716F01"/>
    <w:rsid w:val="0072108C"/>
    <w:rsid w:val="00721569"/>
    <w:rsid w:val="00721B74"/>
    <w:rsid w:val="00723C39"/>
    <w:rsid w:val="00731190"/>
    <w:rsid w:val="00734B39"/>
    <w:rsid w:val="007364EC"/>
    <w:rsid w:val="00741963"/>
    <w:rsid w:val="00753E45"/>
    <w:rsid w:val="00755C98"/>
    <w:rsid w:val="00757293"/>
    <w:rsid w:val="00762A95"/>
    <w:rsid w:val="00790AB7"/>
    <w:rsid w:val="00795386"/>
    <w:rsid w:val="007965AE"/>
    <w:rsid w:val="007A1F9B"/>
    <w:rsid w:val="007A3753"/>
    <w:rsid w:val="007A5EE8"/>
    <w:rsid w:val="007A5EEE"/>
    <w:rsid w:val="007B17E3"/>
    <w:rsid w:val="007B70E9"/>
    <w:rsid w:val="007D0B39"/>
    <w:rsid w:val="007D5CF8"/>
    <w:rsid w:val="007E29FA"/>
    <w:rsid w:val="007E5134"/>
    <w:rsid w:val="008000D8"/>
    <w:rsid w:val="00811138"/>
    <w:rsid w:val="0081471E"/>
    <w:rsid w:val="0081664F"/>
    <w:rsid w:val="00823E67"/>
    <w:rsid w:val="008247D1"/>
    <w:rsid w:val="00825689"/>
    <w:rsid w:val="008277D9"/>
    <w:rsid w:val="00831647"/>
    <w:rsid w:val="0083249D"/>
    <w:rsid w:val="00841453"/>
    <w:rsid w:val="00841F61"/>
    <w:rsid w:val="008634C6"/>
    <w:rsid w:val="00873F3B"/>
    <w:rsid w:val="00876829"/>
    <w:rsid w:val="0088069C"/>
    <w:rsid w:val="00887060"/>
    <w:rsid w:val="008A1792"/>
    <w:rsid w:val="008A74B2"/>
    <w:rsid w:val="008B05AE"/>
    <w:rsid w:val="008B201B"/>
    <w:rsid w:val="008B70D0"/>
    <w:rsid w:val="008C75CF"/>
    <w:rsid w:val="008D4751"/>
    <w:rsid w:val="008D7B3D"/>
    <w:rsid w:val="008E6248"/>
    <w:rsid w:val="008F2613"/>
    <w:rsid w:val="008F263E"/>
    <w:rsid w:val="008F3B84"/>
    <w:rsid w:val="008F41FD"/>
    <w:rsid w:val="009103E0"/>
    <w:rsid w:val="009206A3"/>
    <w:rsid w:val="00935B8E"/>
    <w:rsid w:val="00937D5D"/>
    <w:rsid w:val="00941351"/>
    <w:rsid w:val="00941A5E"/>
    <w:rsid w:val="009463C0"/>
    <w:rsid w:val="0095408C"/>
    <w:rsid w:val="00955C23"/>
    <w:rsid w:val="00962F3B"/>
    <w:rsid w:val="00972039"/>
    <w:rsid w:val="00975018"/>
    <w:rsid w:val="00991C58"/>
    <w:rsid w:val="009929FA"/>
    <w:rsid w:val="00992B72"/>
    <w:rsid w:val="009A2D90"/>
    <w:rsid w:val="009A3BD8"/>
    <w:rsid w:val="009B2A64"/>
    <w:rsid w:val="009C6169"/>
    <w:rsid w:val="009D07C6"/>
    <w:rsid w:val="009D0D77"/>
    <w:rsid w:val="009D1087"/>
    <w:rsid w:val="009D6FCA"/>
    <w:rsid w:val="009E0F7A"/>
    <w:rsid w:val="009E17FF"/>
    <w:rsid w:val="009E18D7"/>
    <w:rsid w:val="009E2CAE"/>
    <w:rsid w:val="009E307A"/>
    <w:rsid w:val="009E5211"/>
    <w:rsid w:val="00A02F18"/>
    <w:rsid w:val="00A03273"/>
    <w:rsid w:val="00A075D0"/>
    <w:rsid w:val="00A16579"/>
    <w:rsid w:val="00A16800"/>
    <w:rsid w:val="00A16A62"/>
    <w:rsid w:val="00A178B6"/>
    <w:rsid w:val="00A17A37"/>
    <w:rsid w:val="00A314B0"/>
    <w:rsid w:val="00A31F56"/>
    <w:rsid w:val="00A32B89"/>
    <w:rsid w:val="00A44988"/>
    <w:rsid w:val="00A479D4"/>
    <w:rsid w:val="00A534CE"/>
    <w:rsid w:val="00A53A79"/>
    <w:rsid w:val="00A61765"/>
    <w:rsid w:val="00A629F9"/>
    <w:rsid w:val="00A72923"/>
    <w:rsid w:val="00A76835"/>
    <w:rsid w:val="00A831FE"/>
    <w:rsid w:val="00A834CC"/>
    <w:rsid w:val="00A86788"/>
    <w:rsid w:val="00A873C6"/>
    <w:rsid w:val="00A957A0"/>
    <w:rsid w:val="00AA09CB"/>
    <w:rsid w:val="00AB15E7"/>
    <w:rsid w:val="00AB483F"/>
    <w:rsid w:val="00AD3431"/>
    <w:rsid w:val="00AE5A08"/>
    <w:rsid w:val="00AF5735"/>
    <w:rsid w:val="00B00B70"/>
    <w:rsid w:val="00B04F1B"/>
    <w:rsid w:val="00B12B39"/>
    <w:rsid w:val="00B1363B"/>
    <w:rsid w:val="00B1605F"/>
    <w:rsid w:val="00B17A2E"/>
    <w:rsid w:val="00B21A7D"/>
    <w:rsid w:val="00B30311"/>
    <w:rsid w:val="00B43936"/>
    <w:rsid w:val="00B444C4"/>
    <w:rsid w:val="00B53CBC"/>
    <w:rsid w:val="00B5504B"/>
    <w:rsid w:val="00B57A2D"/>
    <w:rsid w:val="00B7716A"/>
    <w:rsid w:val="00B80C6D"/>
    <w:rsid w:val="00B85428"/>
    <w:rsid w:val="00B86B1E"/>
    <w:rsid w:val="00B93356"/>
    <w:rsid w:val="00B96D0C"/>
    <w:rsid w:val="00BA6A4C"/>
    <w:rsid w:val="00BB00BB"/>
    <w:rsid w:val="00BB4703"/>
    <w:rsid w:val="00BC4E04"/>
    <w:rsid w:val="00BD12C8"/>
    <w:rsid w:val="00BE26BB"/>
    <w:rsid w:val="00BE440E"/>
    <w:rsid w:val="00BF6B8E"/>
    <w:rsid w:val="00C057A4"/>
    <w:rsid w:val="00C30DC8"/>
    <w:rsid w:val="00C3411D"/>
    <w:rsid w:val="00C40636"/>
    <w:rsid w:val="00C41B4C"/>
    <w:rsid w:val="00C421F0"/>
    <w:rsid w:val="00C42A73"/>
    <w:rsid w:val="00C43812"/>
    <w:rsid w:val="00C44401"/>
    <w:rsid w:val="00C4571D"/>
    <w:rsid w:val="00C502CF"/>
    <w:rsid w:val="00C5047B"/>
    <w:rsid w:val="00C5057A"/>
    <w:rsid w:val="00C52205"/>
    <w:rsid w:val="00C672DA"/>
    <w:rsid w:val="00C75418"/>
    <w:rsid w:val="00C76821"/>
    <w:rsid w:val="00C81E27"/>
    <w:rsid w:val="00C83D17"/>
    <w:rsid w:val="00C93BAA"/>
    <w:rsid w:val="00CA741B"/>
    <w:rsid w:val="00CB79CA"/>
    <w:rsid w:val="00CC0BCE"/>
    <w:rsid w:val="00CC16D6"/>
    <w:rsid w:val="00CC223E"/>
    <w:rsid w:val="00CC50F9"/>
    <w:rsid w:val="00CC7627"/>
    <w:rsid w:val="00CD3A67"/>
    <w:rsid w:val="00CD5D7E"/>
    <w:rsid w:val="00CD6FFA"/>
    <w:rsid w:val="00CE1895"/>
    <w:rsid w:val="00CE5393"/>
    <w:rsid w:val="00D00723"/>
    <w:rsid w:val="00D0434E"/>
    <w:rsid w:val="00D05A08"/>
    <w:rsid w:val="00D138F7"/>
    <w:rsid w:val="00D14CB5"/>
    <w:rsid w:val="00D20420"/>
    <w:rsid w:val="00D2328A"/>
    <w:rsid w:val="00D25A61"/>
    <w:rsid w:val="00D31BBB"/>
    <w:rsid w:val="00D31EFC"/>
    <w:rsid w:val="00D52D1D"/>
    <w:rsid w:val="00D5621F"/>
    <w:rsid w:val="00D654AF"/>
    <w:rsid w:val="00D705E0"/>
    <w:rsid w:val="00D70CC7"/>
    <w:rsid w:val="00D83C21"/>
    <w:rsid w:val="00D83FE9"/>
    <w:rsid w:val="00D8519A"/>
    <w:rsid w:val="00D8544B"/>
    <w:rsid w:val="00D92F0C"/>
    <w:rsid w:val="00D93C6D"/>
    <w:rsid w:val="00DA0300"/>
    <w:rsid w:val="00DA2D09"/>
    <w:rsid w:val="00DA4387"/>
    <w:rsid w:val="00DA499E"/>
    <w:rsid w:val="00DA77F2"/>
    <w:rsid w:val="00DC489E"/>
    <w:rsid w:val="00DD0D37"/>
    <w:rsid w:val="00DD1447"/>
    <w:rsid w:val="00DD6D71"/>
    <w:rsid w:val="00DE1694"/>
    <w:rsid w:val="00DE1BBF"/>
    <w:rsid w:val="00DE1D46"/>
    <w:rsid w:val="00DE30D4"/>
    <w:rsid w:val="00DF3646"/>
    <w:rsid w:val="00DF5D10"/>
    <w:rsid w:val="00E017C0"/>
    <w:rsid w:val="00E01BE4"/>
    <w:rsid w:val="00E0264F"/>
    <w:rsid w:val="00E246E5"/>
    <w:rsid w:val="00E3006D"/>
    <w:rsid w:val="00E31581"/>
    <w:rsid w:val="00E37240"/>
    <w:rsid w:val="00E42A17"/>
    <w:rsid w:val="00E43538"/>
    <w:rsid w:val="00E435F7"/>
    <w:rsid w:val="00E4373B"/>
    <w:rsid w:val="00E445F2"/>
    <w:rsid w:val="00E467DE"/>
    <w:rsid w:val="00E46B8C"/>
    <w:rsid w:val="00E46CC8"/>
    <w:rsid w:val="00E524F5"/>
    <w:rsid w:val="00E5566D"/>
    <w:rsid w:val="00E6073A"/>
    <w:rsid w:val="00E74168"/>
    <w:rsid w:val="00E7609B"/>
    <w:rsid w:val="00E87307"/>
    <w:rsid w:val="00E93587"/>
    <w:rsid w:val="00E96085"/>
    <w:rsid w:val="00EA5177"/>
    <w:rsid w:val="00EA5765"/>
    <w:rsid w:val="00EA6132"/>
    <w:rsid w:val="00EA7633"/>
    <w:rsid w:val="00EB4A26"/>
    <w:rsid w:val="00EB7BF3"/>
    <w:rsid w:val="00EC1B27"/>
    <w:rsid w:val="00EC312E"/>
    <w:rsid w:val="00EC54C2"/>
    <w:rsid w:val="00EC6277"/>
    <w:rsid w:val="00EC62EC"/>
    <w:rsid w:val="00ED030A"/>
    <w:rsid w:val="00EE0137"/>
    <w:rsid w:val="00EE5D38"/>
    <w:rsid w:val="00EE7075"/>
    <w:rsid w:val="00F001FC"/>
    <w:rsid w:val="00F13AE1"/>
    <w:rsid w:val="00F15856"/>
    <w:rsid w:val="00F16474"/>
    <w:rsid w:val="00F23DE4"/>
    <w:rsid w:val="00F30FF1"/>
    <w:rsid w:val="00F34C8D"/>
    <w:rsid w:val="00F41BCC"/>
    <w:rsid w:val="00F70729"/>
    <w:rsid w:val="00F71E0F"/>
    <w:rsid w:val="00F763B1"/>
    <w:rsid w:val="00F770D5"/>
    <w:rsid w:val="00F77FF6"/>
    <w:rsid w:val="00F82660"/>
    <w:rsid w:val="00F93D6F"/>
    <w:rsid w:val="00F9495B"/>
    <w:rsid w:val="00F95D6C"/>
    <w:rsid w:val="00FA079A"/>
    <w:rsid w:val="00FA5E04"/>
    <w:rsid w:val="00FB3157"/>
    <w:rsid w:val="00FC1123"/>
    <w:rsid w:val="00FC1E84"/>
    <w:rsid w:val="00FC1F81"/>
    <w:rsid w:val="00FC235E"/>
    <w:rsid w:val="00FC44A6"/>
    <w:rsid w:val="00FC59EF"/>
    <w:rsid w:val="00FD6C7B"/>
    <w:rsid w:val="00FE3BE4"/>
    <w:rsid w:val="00FF7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04ABA"/>
  <w15:chartTrackingRefBased/>
  <w15:docId w15:val="{E7C4DC30-DB80-40B7-88E6-19573BC7B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B3E06"/>
    <w:pPr>
      <w:spacing w:after="0" w:line="240" w:lineRule="auto"/>
    </w:pPr>
  </w:style>
  <w:style w:type="paragraph" w:styleId="Header">
    <w:name w:val="header"/>
    <w:basedOn w:val="Normal"/>
    <w:link w:val="HeaderChar"/>
    <w:uiPriority w:val="99"/>
    <w:unhideWhenUsed/>
    <w:rsid w:val="00EE70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075"/>
  </w:style>
  <w:style w:type="paragraph" w:styleId="Footer">
    <w:name w:val="footer"/>
    <w:basedOn w:val="Normal"/>
    <w:link w:val="FooterChar"/>
    <w:uiPriority w:val="99"/>
    <w:unhideWhenUsed/>
    <w:rsid w:val="00EE70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075"/>
  </w:style>
  <w:style w:type="paragraph" w:styleId="FootnoteText">
    <w:name w:val="footnote text"/>
    <w:basedOn w:val="Normal"/>
    <w:link w:val="FootnoteTextChar"/>
    <w:uiPriority w:val="99"/>
    <w:unhideWhenUsed/>
    <w:rsid w:val="00B1605F"/>
    <w:pPr>
      <w:spacing w:after="0" w:line="240" w:lineRule="auto"/>
    </w:pPr>
    <w:rPr>
      <w:sz w:val="20"/>
      <w:szCs w:val="20"/>
    </w:rPr>
  </w:style>
  <w:style w:type="character" w:customStyle="1" w:styleId="FootnoteTextChar">
    <w:name w:val="Footnote Text Char"/>
    <w:basedOn w:val="DefaultParagraphFont"/>
    <w:link w:val="FootnoteText"/>
    <w:uiPriority w:val="99"/>
    <w:rsid w:val="00B1605F"/>
    <w:rPr>
      <w:sz w:val="20"/>
      <w:szCs w:val="20"/>
    </w:rPr>
  </w:style>
  <w:style w:type="character" w:styleId="FootnoteReference">
    <w:name w:val="footnote reference"/>
    <w:basedOn w:val="DefaultParagraphFont"/>
    <w:uiPriority w:val="99"/>
    <w:unhideWhenUsed/>
    <w:rsid w:val="00B1605F"/>
    <w:rPr>
      <w:vertAlign w:val="superscript"/>
    </w:rPr>
  </w:style>
  <w:style w:type="table" w:styleId="TableGrid">
    <w:name w:val="Table Grid"/>
    <w:basedOn w:val="TableNormal"/>
    <w:uiPriority w:val="39"/>
    <w:rsid w:val="000375EB"/>
    <w:pPr>
      <w:spacing w:after="0" w:line="240" w:lineRule="auto"/>
    </w:pPr>
    <w:rPr>
      <w:rFonts w:ascii="Times New Roman" w:eastAsiaTheme="minorEastAsia"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82660"/>
    <w:rPr>
      <w:sz w:val="16"/>
      <w:szCs w:val="16"/>
    </w:rPr>
  </w:style>
  <w:style w:type="paragraph" w:styleId="CommentText">
    <w:name w:val="annotation text"/>
    <w:basedOn w:val="Normal"/>
    <w:link w:val="CommentTextChar"/>
    <w:uiPriority w:val="99"/>
    <w:unhideWhenUsed/>
    <w:rsid w:val="00F82660"/>
    <w:pPr>
      <w:spacing w:line="240" w:lineRule="auto"/>
    </w:pPr>
    <w:rPr>
      <w:sz w:val="20"/>
      <w:szCs w:val="20"/>
    </w:rPr>
  </w:style>
  <w:style w:type="character" w:customStyle="1" w:styleId="CommentTextChar">
    <w:name w:val="Comment Text Char"/>
    <w:basedOn w:val="DefaultParagraphFont"/>
    <w:link w:val="CommentText"/>
    <w:uiPriority w:val="99"/>
    <w:rsid w:val="00F82660"/>
    <w:rPr>
      <w:sz w:val="20"/>
      <w:szCs w:val="20"/>
    </w:rPr>
  </w:style>
  <w:style w:type="paragraph" w:styleId="CommentSubject">
    <w:name w:val="annotation subject"/>
    <w:basedOn w:val="CommentText"/>
    <w:next w:val="CommentText"/>
    <w:link w:val="CommentSubjectChar"/>
    <w:uiPriority w:val="99"/>
    <w:semiHidden/>
    <w:unhideWhenUsed/>
    <w:rsid w:val="00F82660"/>
    <w:rPr>
      <w:b/>
      <w:bCs/>
    </w:rPr>
  </w:style>
  <w:style w:type="character" w:customStyle="1" w:styleId="CommentSubjectChar">
    <w:name w:val="Comment Subject Char"/>
    <w:basedOn w:val="CommentTextChar"/>
    <w:link w:val="CommentSubject"/>
    <w:uiPriority w:val="99"/>
    <w:semiHidden/>
    <w:rsid w:val="00F82660"/>
    <w:rPr>
      <w:b/>
      <w:bCs/>
      <w:sz w:val="20"/>
      <w:szCs w:val="20"/>
    </w:rPr>
  </w:style>
  <w:style w:type="paragraph" w:styleId="BalloonText">
    <w:name w:val="Balloon Text"/>
    <w:basedOn w:val="Normal"/>
    <w:link w:val="BalloonTextChar"/>
    <w:uiPriority w:val="99"/>
    <w:semiHidden/>
    <w:unhideWhenUsed/>
    <w:rsid w:val="00F826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660"/>
    <w:rPr>
      <w:rFonts w:ascii="Segoe UI" w:hAnsi="Segoe UI" w:cs="Segoe UI"/>
      <w:sz w:val="18"/>
      <w:szCs w:val="18"/>
    </w:rPr>
  </w:style>
  <w:style w:type="paragraph" w:customStyle="1" w:styleId="Default">
    <w:name w:val="Default"/>
    <w:rsid w:val="00841453"/>
    <w:pPr>
      <w:autoSpaceDE w:val="0"/>
      <w:autoSpaceDN w:val="0"/>
      <w:adjustRightInd w:val="0"/>
      <w:spacing w:after="0" w:line="240" w:lineRule="auto"/>
    </w:pPr>
    <w:rPr>
      <w:rFonts w:ascii="Code" w:hAnsi="Code" w:cs="Code"/>
      <w:color w:val="000000"/>
      <w:sz w:val="24"/>
      <w:szCs w:val="24"/>
    </w:rPr>
  </w:style>
  <w:style w:type="paragraph" w:customStyle="1" w:styleId="N">
    <w:name w:val="N"/>
    <w:uiPriority w:val="99"/>
    <w:rsid w:val="00876829"/>
    <w:pPr>
      <w:spacing w:before="60" w:after="60" w:line="480" w:lineRule="auto"/>
      <w:ind w:left="245" w:hanging="245"/>
    </w:pPr>
    <w:rPr>
      <w:rFonts w:ascii="Times New Roman" w:eastAsia="Times New Roman" w:hAnsi="Times New Roman" w:cs="Times New Roman"/>
      <w:szCs w:val="20"/>
    </w:rPr>
  </w:style>
  <w:style w:type="character" w:styleId="EndnoteReference">
    <w:name w:val="endnote reference"/>
    <w:uiPriority w:val="99"/>
    <w:semiHidden/>
    <w:rsid w:val="00876829"/>
    <w:rPr>
      <w:rFonts w:cs="Times New Roman"/>
      <w:vertAlign w:val="superscript"/>
    </w:rPr>
  </w:style>
  <w:style w:type="paragraph" w:customStyle="1" w:styleId="ListParagraph1">
    <w:name w:val="List Paragraph1"/>
    <w:basedOn w:val="Normal"/>
    <w:next w:val="ListParagraph"/>
    <w:uiPriority w:val="34"/>
    <w:qFormat/>
    <w:rsid w:val="004A07D4"/>
    <w:pPr>
      <w:spacing w:after="0" w:line="240" w:lineRule="auto"/>
      <w:ind w:left="720"/>
      <w:contextualSpacing/>
    </w:pPr>
    <w:rPr>
      <w:rFonts w:ascii="Times New Roman" w:hAnsi="Times New Roman" w:cs="Times New Roman"/>
      <w:sz w:val="24"/>
      <w:szCs w:val="24"/>
    </w:rPr>
  </w:style>
  <w:style w:type="table" w:customStyle="1" w:styleId="TableGrid1">
    <w:name w:val="Table Grid1"/>
    <w:basedOn w:val="TableNormal"/>
    <w:next w:val="TableGrid"/>
    <w:uiPriority w:val="39"/>
    <w:rsid w:val="004A07D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07D4"/>
    <w:pPr>
      <w:ind w:left="720"/>
      <w:contextualSpacing/>
    </w:pPr>
  </w:style>
  <w:style w:type="table" w:customStyle="1" w:styleId="TableGrid2">
    <w:name w:val="Table Grid2"/>
    <w:basedOn w:val="TableNormal"/>
    <w:next w:val="TableGrid"/>
    <w:uiPriority w:val="39"/>
    <w:rsid w:val="00BB00B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91C58"/>
    <w:pPr>
      <w:spacing w:before="100" w:beforeAutospacing="1" w:after="100" w:afterAutospacing="1" w:line="240" w:lineRule="auto"/>
    </w:pPr>
    <w:rPr>
      <w:rFonts w:ascii="Times New Roman" w:hAnsi="Times New Roman" w:cs="Times New Roman"/>
      <w:sz w:val="24"/>
      <w:szCs w:val="24"/>
    </w:rPr>
  </w:style>
  <w:style w:type="paragraph" w:styleId="DocumentMap">
    <w:name w:val="Document Map"/>
    <w:basedOn w:val="Normal"/>
    <w:link w:val="DocumentMapChar"/>
    <w:uiPriority w:val="99"/>
    <w:semiHidden/>
    <w:unhideWhenUsed/>
    <w:rsid w:val="005464E8"/>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5464E8"/>
    <w:rPr>
      <w:rFonts w:ascii="Times New Roman" w:hAnsi="Times New Roman" w:cs="Times New Roman"/>
      <w:sz w:val="24"/>
      <w:szCs w:val="24"/>
    </w:rPr>
  </w:style>
  <w:style w:type="paragraph" w:styleId="Revision">
    <w:name w:val="Revision"/>
    <w:hidden/>
    <w:uiPriority w:val="99"/>
    <w:semiHidden/>
    <w:rsid w:val="008B05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chart" Target="charts/chart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hyperlink" Target="https://doi.org/10.1093/isr/vix011" TargetMode="Externa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chart" Target="charts/chart5.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paulabezerra\Dropbox\Research\In%20Progress\Regions%20-%20Doha\2018\Updating%20(Original)%20Figure%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808974792300399E-2"/>
          <c:y val="0.164814814814815"/>
          <c:w val="0.92587359012555903"/>
          <c:h val="0.72778579760863205"/>
        </c:manualLayout>
      </c:layout>
      <c:barChart>
        <c:barDir val="col"/>
        <c:grouping val="clustered"/>
        <c:varyColors val="0"/>
        <c:ser>
          <c:idx val="0"/>
          <c:order val="0"/>
          <c:spPr>
            <a:solidFill>
              <a:schemeClr val="tx1"/>
            </a:solidFill>
            <a:ln>
              <a:noFill/>
            </a:ln>
            <a:effectLst/>
          </c:spPr>
          <c:invertIfNegative val="0"/>
          <c:cat>
            <c:strRef>
              <c:f>Sheet1!$F$13:$F$17</c:f>
              <c:strCache>
                <c:ptCount val="5"/>
                <c:pt idx="0">
                  <c:v>Middle East</c:v>
                </c:pt>
                <c:pt idx="2">
                  <c:v>Other regions</c:v>
                </c:pt>
                <c:pt idx="4">
                  <c:v>Next highest</c:v>
                </c:pt>
              </c:strCache>
            </c:strRef>
          </c:cat>
          <c:val>
            <c:numRef>
              <c:f>Sheet1!$H$13:$H$17</c:f>
              <c:numCache>
                <c:formatCode>General</c:formatCode>
                <c:ptCount val="5"/>
                <c:pt idx="0">
                  <c:v>33.200000000000003</c:v>
                </c:pt>
                <c:pt idx="2">
                  <c:v>0.98</c:v>
                </c:pt>
                <c:pt idx="4">
                  <c:v>2.66</c:v>
                </c:pt>
              </c:numCache>
            </c:numRef>
          </c:val>
          <c:extLst>
            <c:ext xmlns:c16="http://schemas.microsoft.com/office/drawing/2014/chart" uri="{C3380CC4-5D6E-409C-BE32-E72D297353CC}">
              <c16:uniqueId val="{00000000-3ED3-4356-89D1-191C6986E648}"/>
            </c:ext>
          </c:extLst>
        </c:ser>
        <c:dLbls>
          <c:showLegendKey val="0"/>
          <c:showVal val="0"/>
          <c:showCatName val="0"/>
          <c:showSerName val="0"/>
          <c:showPercent val="0"/>
          <c:showBubbleSize val="0"/>
        </c:dLbls>
        <c:gapWidth val="219"/>
        <c:overlap val="-27"/>
        <c:axId val="85358384"/>
        <c:axId val="24832000"/>
      </c:barChart>
      <c:catAx>
        <c:axId val="8535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24832000"/>
        <c:crosses val="autoZero"/>
        <c:auto val="1"/>
        <c:lblAlgn val="ctr"/>
        <c:lblOffset val="100"/>
        <c:noMultiLvlLbl val="0"/>
      </c:catAx>
      <c:valAx>
        <c:axId val="24832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853583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Times New Roman" charset="0"/>
          <a:ea typeface="Times New Roman" charset="0"/>
          <a:cs typeface="Times New Roman"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tx1"/>
              </a:solidFill>
              <a:round/>
            </a:ln>
            <a:effectLst/>
          </c:spPr>
          <c:marker>
            <c:symbol val="none"/>
          </c:marker>
          <c:cat>
            <c:numRef>
              <c:f>Sheet1!$A$2:$A$66</c:f>
              <c:numCache>
                <c:formatCode>General</c:formatCode>
                <c:ptCount val="65"/>
                <c:pt idx="0">
                  <c:v>1951</c:v>
                </c:pt>
                <c:pt idx="1">
                  <c:v>1952</c:v>
                </c:pt>
                <c:pt idx="2">
                  <c:v>1953</c:v>
                </c:pt>
                <c:pt idx="3">
                  <c:v>1954</c:v>
                </c:pt>
                <c:pt idx="4">
                  <c:v>1955</c:v>
                </c:pt>
                <c:pt idx="5">
                  <c:v>1956</c:v>
                </c:pt>
                <c:pt idx="6">
                  <c:v>1957</c:v>
                </c:pt>
                <c:pt idx="7">
                  <c:v>1958</c:v>
                </c:pt>
                <c:pt idx="8">
                  <c:v>1959</c:v>
                </c:pt>
                <c:pt idx="9">
                  <c:v>1960</c:v>
                </c:pt>
                <c:pt idx="10">
                  <c:v>1961</c:v>
                </c:pt>
                <c:pt idx="11">
                  <c:v>1962</c:v>
                </c:pt>
                <c:pt idx="12">
                  <c:v>1963</c:v>
                </c:pt>
                <c:pt idx="13">
                  <c:v>1964</c:v>
                </c:pt>
                <c:pt idx="14">
                  <c:v>1965</c:v>
                </c:pt>
                <c:pt idx="15">
                  <c:v>1966</c:v>
                </c:pt>
                <c:pt idx="16">
                  <c:v>1967</c:v>
                </c:pt>
                <c:pt idx="17">
                  <c:v>1968</c:v>
                </c:pt>
                <c:pt idx="18">
                  <c:v>1969</c:v>
                </c:pt>
                <c:pt idx="19">
                  <c:v>1970</c:v>
                </c:pt>
                <c:pt idx="20">
                  <c:v>1971</c:v>
                </c:pt>
                <c:pt idx="21">
                  <c:v>1972</c:v>
                </c:pt>
                <c:pt idx="22">
                  <c:v>1973</c:v>
                </c:pt>
                <c:pt idx="23">
                  <c:v>1974</c:v>
                </c:pt>
                <c:pt idx="24">
                  <c:v>1975</c:v>
                </c:pt>
                <c:pt idx="25">
                  <c:v>1976</c:v>
                </c:pt>
                <c:pt idx="26">
                  <c:v>1977</c:v>
                </c:pt>
                <c:pt idx="27">
                  <c:v>1978</c:v>
                </c:pt>
                <c:pt idx="28">
                  <c:v>1979</c:v>
                </c:pt>
                <c:pt idx="29">
                  <c:v>1980</c:v>
                </c:pt>
                <c:pt idx="30">
                  <c:v>1981</c:v>
                </c:pt>
                <c:pt idx="31">
                  <c:v>1982</c:v>
                </c:pt>
                <c:pt idx="32">
                  <c:v>1983</c:v>
                </c:pt>
                <c:pt idx="33">
                  <c:v>1984</c:v>
                </c:pt>
                <c:pt idx="34">
                  <c:v>1985</c:v>
                </c:pt>
                <c:pt idx="35">
                  <c:v>1986</c:v>
                </c:pt>
                <c:pt idx="36">
                  <c:v>1987</c:v>
                </c:pt>
                <c:pt idx="37">
                  <c:v>1988</c:v>
                </c:pt>
                <c:pt idx="38">
                  <c:v>1989</c:v>
                </c:pt>
                <c:pt idx="39">
                  <c:v>1990</c:v>
                </c:pt>
                <c:pt idx="40">
                  <c:v>1991</c:v>
                </c:pt>
                <c:pt idx="41">
                  <c:v>1992</c:v>
                </c:pt>
                <c:pt idx="42">
                  <c:v>1993</c:v>
                </c:pt>
                <c:pt idx="43">
                  <c:v>1994</c:v>
                </c:pt>
                <c:pt idx="44">
                  <c:v>1995</c:v>
                </c:pt>
                <c:pt idx="45">
                  <c:v>1996</c:v>
                </c:pt>
                <c:pt idx="46">
                  <c:v>1997</c:v>
                </c:pt>
                <c:pt idx="47">
                  <c:v>1998</c:v>
                </c:pt>
                <c:pt idx="48">
                  <c:v>1999</c:v>
                </c:pt>
                <c:pt idx="49">
                  <c:v>2000</c:v>
                </c:pt>
                <c:pt idx="50">
                  <c:v>2001</c:v>
                </c:pt>
                <c:pt idx="51">
                  <c:v>2002</c:v>
                </c:pt>
                <c:pt idx="52">
                  <c:v>2003</c:v>
                </c:pt>
                <c:pt idx="53">
                  <c:v>2004</c:v>
                </c:pt>
                <c:pt idx="54">
                  <c:v>2005</c:v>
                </c:pt>
                <c:pt idx="55">
                  <c:v>2006</c:v>
                </c:pt>
                <c:pt idx="56">
                  <c:v>2007</c:v>
                </c:pt>
                <c:pt idx="57">
                  <c:v>2008</c:v>
                </c:pt>
                <c:pt idx="58">
                  <c:v>2009</c:v>
                </c:pt>
                <c:pt idx="59">
                  <c:v>2010</c:v>
                </c:pt>
                <c:pt idx="60">
                  <c:v>2011</c:v>
                </c:pt>
                <c:pt idx="61">
                  <c:v>2012</c:v>
                </c:pt>
                <c:pt idx="62">
                  <c:v>2013</c:v>
                </c:pt>
                <c:pt idx="63">
                  <c:v>2014</c:v>
                </c:pt>
                <c:pt idx="64">
                  <c:v>2015</c:v>
                </c:pt>
              </c:numCache>
            </c:numRef>
          </c:cat>
          <c:val>
            <c:numRef>
              <c:f>Sheet1!$F$2:$F$66</c:f>
              <c:numCache>
                <c:formatCode>0.00</c:formatCode>
                <c:ptCount val="65"/>
                <c:pt idx="0">
                  <c:v>0.54545454545454497</c:v>
                </c:pt>
                <c:pt idx="1">
                  <c:v>0.54545454545454497</c:v>
                </c:pt>
                <c:pt idx="2">
                  <c:v>0.54545454545454497</c:v>
                </c:pt>
                <c:pt idx="3">
                  <c:v>0.54545454545454497</c:v>
                </c:pt>
                <c:pt idx="4">
                  <c:v>0.63636363636363602</c:v>
                </c:pt>
                <c:pt idx="5">
                  <c:v>0.63636363636363602</c:v>
                </c:pt>
                <c:pt idx="6">
                  <c:v>0.63636363636363602</c:v>
                </c:pt>
                <c:pt idx="7">
                  <c:v>0.63636363636363602</c:v>
                </c:pt>
                <c:pt idx="8">
                  <c:v>0.63636363636363602</c:v>
                </c:pt>
                <c:pt idx="9">
                  <c:v>0.63636363636363602</c:v>
                </c:pt>
                <c:pt idx="10">
                  <c:v>0.72727272727272696</c:v>
                </c:pt>
                <c:pt idx="11">
                  <c:v>0.72727272727272696</c:v>
                </c:pt>
                <c:pt idx="12">
                  <c:v>0.72727272727272696</c:v>
                </c:pt>
                <c:pt idx="13">
                  <c:v>0.72727272727272696</c:v>
                </c:pt>
                <c:pt idx="14">
                  <c:v>0.72727272727272696</c:v>
                </c:pt>
                <c:pt idx="15">
                  <c:v>0.72727272727272696</c:v>
                </c:pt>
                <c:pt idx="16">
                  <c:v>0.91666666666666696</c:v>
                </c:pt>
                <c:pt idx="17">
                  <c:v>0.91666666666666696</c:v>
                </c:pt>
                <c:pt idx="18">
                  <c:v>0.91666666666666696</c:v>
                </c:pt>
                <c:pt idx="19">
                  <c:v>0.91666666666666696</c:v>
                </c:pt>
                <c:pt idx="20">
                  <c:v>0.73333333333333295</c:v>
                </c:pt>
                <c:pt idx="21">
                  <c:v>0.73333333333333295</c:v>
                </c:pt>
                <c:pt idx="22">
                  <c:v>0.73333333333333295</c:v>
                </c:pt>
                <c:pt idx="23">
                  <c:v>0.73333333333333295</c:v>
                </c:pt>
                <c:pt idx="24">
                  <c:v>0.73333333333333295</c:v>
                </c:pt>
                <c:pt idx="25">
                  <c:v>0.73333333333333295</c:v>
                </c:pt>
                <c:pt idx="26">
                  <c:v>0.73333333333333295</c:v>
                </c:pt>
                <c:pt idx="27">
                  <c:v>0.73333333333333295</c:v>
                </c:pt>
                <c:pt idx="28">
                  <c:v>0.73333333333333295</c:v>
                </c:pt>
                <c:pt idx="29">
                  <c:v>0.73333333333333295</c:v>
                </c:pt>
                <c:pt idx="30">
                  <c:v>0.73333333333333295</c:v>
                </c:pt>
                <c:pt idx="31">
                  <c:v>0.73333333333333295</c:v>
                </c:pt>
                <c:pt idx="32">
                  <c:v>0.66666666666666696</c:v>
                </c:pt>
                <c:pt idx="33">
                  <c:v>0.66666666666666696</c:v>
                </c:pt>
                <c:pt idx="34">
                  <c:v>0.66666666666666696</c:v>
                </c:pt>
                <c:pt idx="35">
                  <c:v>0.8</c:v>
                </c:pt>
                <c:pt idx="36">
                  <c:v>0.8</c:v>
                </c:pt>
                <c:pt idx="37">
                  <c:v>0.8</c:v>
                </c:pt>
                <c:pt idx="38">
                  <c:v>0.8</c:v>
                </c:pt>
                <c:pt idx="39">
                  <c:v>0.71428571428571397</c:v>
                </c:pt>
                <c:pt idx="40">
                  <c:v>0.78571428571428603</c:v>
                </c:pt>
                <c:pt idx="41">
                  <c:v>0.78571428571428603</c:v>
                </c:pt>
                <c:pt idx="42">
                  <c:v>0.78571428571428603</c:v>
                </c:pt>
                <c:pt idx="43">
                  <c:v>0.78571428571428603</c:v>
                </c:pt>
                <c:pt idx="44">
                  <c:v>0.78571428571428603</c:v>
                </c:pt>
                <c:pt idx="45">
                  <c:v>0.78571428571428603</c:v>
                </c:pt>
                <c:pt idx="46">
                  <c:v>0.78571428571428603</c:v>
                </c:pt>
                <c:pt idx="47">
                  <c:v>0.78571428571428603</c:v>
                </c:pt>
                <c:pt idx="48">
                  <c:v>0.78571428571428603</c:v>
                </c:pt>
                <c:pt idx="49">
                  <c:v>0.78571428571428603</c:v>
                </c:pt>
                <c:pt idx="50">
                  <c:v>0.71428571428571397</c:v>
                </c:pt>
                <c:pt idx="51">
                  <c:v>0.64285714285714302</c:v>
                </c:pt>
                <c:pt idx="52">
                  <c:v>0.64285714285714302</c:v>
                </c:pt>
                <c:pt idx="53">
                  <c:v>0.64285714285714302</c:v>
                </c:pt>
                <c:pt idx="54">
                  <c:v>0.64285714285714302</c:v>
                </c:pt>
                <c:pt idx="55">
                  <c:v>0.64285714285714302</c:v>
                </c:pt>
                <c:pt idx="56">
                  <c:v>0.64285714285714302</c:v>
                </c:pt>
                <c:pt idx="57">
                  <c:v>0.64285714285714302</c:v>
                </c:pt>
                <c:pt idx="58">
                  <c:v>0.64285714285714302</c:v>
                </c:pt>
                <c:pt idx="59">
                  <c:v>0.64285714285714302</c:v>
                </c:pt>
                <c:pt idx="60">
                  <c:v>0.71428571428571397</c:v>
                </c:pt>
                <c:pt idx="61">
                  <c:v>0.71428571428571397</c:v>
                </c:pt>
                <c:pt idx="62">
                  <c:v>0.71428571428571397</c:v>
                </c:pt>
                <c:pt idx="63">
                  <c:v>0.71428571428571397</c:v>
                </c:pt>
                <c:pt idx="64">
                  <c:v>0.71428571428571397</c:v>
                </c:pt>
              </c:numCache>
            </c:numRef>
          </c:val>
          <c:smooth val="0"/>
          <c:extLst>
            <c:ext xmlns:c16="http://schemas.microsoft.com/office/drawing/2014/chart" uri="{C3380CC4-5D6E-409C-BE32-E72D297353CC}">
              <c16:uniqueId val="{00000000-C9BB-4310-A83F-9D5AEED60E04}"/>
            </c:ext>
          </c:extLst>
        </c:ser>
        <c:dLbls>
          <c:showLegendKey val="0"/>
          <c:showVal val="0"/>
          <c:showCatName val="0"/>
          <c:showSerName val="0"/>
          <c:showPercent val="0"/>
          <c:showBubbleSize val="0"/>
        </c:dLbls>
        <c:smooth val="0"/>
        <c:axId val="120362512"/>
        <c:axId val="120364560"/>
      </c:lineChart>
      <c:catAx>
        <c:axId val="120362512"/>
        <c:scaling>
          <c:orientation val="minMax"/>
        </c:scaling>
        <c:delete val="0"/>
        <c:axPos val="b"/>
        <c:numFmt formatCode="General" sourceLinked="1"/>
        <c:majorTickMark val="out"/>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120364560"/>
        <c:crosses val="autoZero"/>
        <c:auto val="1"/>
        <c:lblAlgn val="ctr"/>
        <c:lblOffset val="100"/>
        <c:tickLblSkip val="4"/>
        <c:tickMarkSkip val="1"/>
        <c:noMultiLvlLbl val="0"/>
      </c:catAx>
      <c:valAx>
        <c:axId val="120364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120362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216097987751501E-2"/>
          <c:y val="0.13441610396990999"/>
          <c:w val="0.92527962850797496"/>
          <c:h val="0.719575565874778"/>
        </c:manualLayout>
      </c:layout>
      <c:lineChart>
        <c:grouping val="standard"/>
        <c:varyColors val="0"/>
        <c:ser>
          <c:idx val="1"/>
          <c:order val="1"/>
          <c:tx>
            <c:strRef>
              <c:f>density!$E$1</c:f>
              <c:strCache>
                <c:ptCount val="1"/>
                <c:pt idx="0">
                  <c:v># Links</c:v>
                </c:pt>
              </c:strCache>
            </c:strRef>
          </c:tx>
          <c:spPr>
            <a:ln w="28575" cap="rnd">
              <a:solidFill>
                <a:schemeClr val="tx1"/>
              </a:solidFill>
              <a:round/>
            </a:ln>
            <a:effectLst/>
          </c:spPr>
          <c:marker>
            <c:symbol val="none"/>
          </c:marker>
          <c:cat>
            <c:numRef>
              <c:f>density!$A$2:$A$66</c:f>
              <c:numCache>
                <c:formatCode>General</c:formatCode>
                <c:ptCount val="65"/>
                <c:pt idx="0">
                  <c:v>1951</c:v>
                </c:pt>
                <c:pt idx="1">
                  <c:v>1952</c:v>
                </c:pt>
                <c:pt idx="2">
                  <c:v>1953</c:v>
                </c:pt>
                <c:pt idx="3">
                  <c:v>1954</c:v>
                </c:pt>
                <c:pt idx="4">
                  <c:v>1955</c:v>
                </c:pt>
                <c:pt idx="5">
                  <c:v>1956</c:v>
                </c:pt>
                <c:pt idx="6">
                  <c:v>1957</c:v>
                </c:pt>
                <c:pt idx="7">
                  <c:v>1958</c:v>
                </c:pt>
                <c:pt idx="8">
                  <c:v>1959</c:v>
                </c:pt>
                <c:pt idx="9">
                  <c:v>1960</c:v>
                </c:pt>
                <c:pt idx="10">
                  <c:v>1961</c:v>
                </c:pt>
                <c:pt idx="11">
                  <c:v>1962</c:v>
                </c:pt>
                <c:pt idx="12">
                  <c:v>1963</c:v>
                </c:pt>
                <c:pt idx="13">
                  <c:v>1964</c:v>
                </c:pt>
                <c:pt idx="14">
                  <c:v>1965</c:v>
                </c:pt>
                <c:pt idx="15">
                  <c:v>1966</c:v>
                </c:pt>
                <c:pt idx="16">
                  <c:v>1967</c:v>
                </c:pt>
                <c:pt idx="17">
                  <c:v>1968</c:v>
                </c:pt>
                <c:pt idx="18">
                  <c:v>1969</c:v>
                </c:pt>
                <c:pt idx="19">
                  <c:v>1970</c:v>
                </c:pt>
                <c:pt idx="20">
                  <c:v>1971</c:v>
                </c:pt>
                <c:pt idx="21">
                  <c:v>1972</c:v>
                </c:pt>
                <c:pt idx="22">
                  <c:v>1973</c:v>
                </c:pt>
                <c:pt idx="23">
                  <c:v>1974</c:v>
                </c:pt>
                <c:pt idx="24">
                  <c:v>1975</c:v>
                </c:pt>
                <c:pt idx="25">
                  <c:v>1976</c:v>
                </c:pt>
                <c:pt idx="26">
                  <c:v>1977</c:v>
                </c:pt>
                <c:pt idx="27">
                  <c:v>1978</c:v>
                </c:pt>
                <c:pt idx="28">
                  <c:v>1979</c:v>
                </c:pt>
                <c:pt idx="29">
                  <c:v>1980</c:v>
                </c:pt>
                <c:pt idx="30">
                  <c:v>1981</c:v>
                </c:pt>
                <c:pt idx="31">
                  <c:v>1982</c:v>
                </c:pt>
                <c:pt idx="32">
                  <c:v>1983</c:v>
                </c:pt>
                <c:pt idx="33">
                  <c:v>1984</c:v>
                </c:pt>
                <c:pt idx="34">
                  <c:v>1985</c:v>
                </c:pt>
                <c:pt idx="35">
                  <c:v>1986</c:v>
                </c:pt>
                <c:pt idx="36">
                  <c:v>1987</c:v>
                </c:pt>
                <c:pt idx="37">
                  <c:v>1988</c:v>
                </c:pt>
                <c:pt idx="38">
                  <c:v>1989</c:v>
                </c:pt>
                <c:pt idx="39">
                  <c:v>1990</c:v>
                </c:pt>
                <c:pt idx="40">
                  <c:v>1991</c:v>
                </c:pt>
                <c:pt idx="41">
                  <c:v>1992</c:v>
                </c:pt>
                <c:pt idx="42">
                  <c:v>1993</c:v>
                </c:pt>
                <c:pt idx="43">
                  <c:v>1994</c:v>
                </c:pt>
                <c:pt idx="44">
                  <c:v>1995</c:v>
                </c:pt>
                <c:pt idx="45">
                  <c:v>1996</c:v>
                </c:pt>
                <c:pt idx="46">
                  <c:v>1997</c:v>
                </c:pt>
                <c:pt idx="47">
                  <c:v>1998</c:v>
                </c:pt>
                <c:pt idx="48">
                  <c:v>1999</c:v>
                </c:pt>
                <c:pt idx="49">
                  <c:v>2000</c:v>
                </c:pt>
                <c:pt idx="50">
                  <c:v>2001</c:v>
                </c:pt>
                <c:pt idx="51">
                  <c:v>2002</c:v>
                </c:pt>
                <c:pt idx="52">
                  <c:v>2003</c:v>
                </c:pt>
                <c:pt idx="53">
                  <c:v>2004</c:v>
                </c:pt>
                <c:pt idx="54">
                  <c:v>2005</c:v>
                </c:pt>
                <c:pt idx="55">
                  <c:v>2006</c:v>
                </c:pt>
                <c:pt idx="56">
                  <c:v>2007</c:v>
                </c:pt>
                <c:pt idx="57">
                  <c:v>2008</c:v>
                </c:pt>
                <c:pt idx="58">
                  <c:v>2009</c:v>
                </c:pt>
                <c:pt idx="59">
                  <c:v>2010</c:v>
                </c:pt>
                <c:pt idx="60">
                  <c:v>2011</c:v>
                </c:pt>
                <c:pt idx="61">
                  <c:v>2012</c:v>
                </c:pt>
                <c:pt idx="62">
                  <c:v>2013</c:v>
                </c:pt>
                <c:pt idx="63">
                  <c:v>2014</c:v>
                </c:pt>
                <c:pt idx="64">
                  <c:v>2015</c:v>
                </c:pt>
              </c:numCache>
            </c:numRef>
          </c:cat>
          <c:val>
            <c:numRef>
              <c:f>density!$E$2:$E$66</c:f>
              <c:numCache>
                <c:formatCode>General</c:formatCode>
                <c:ptCount val="65"/>
                <c:pt idx="0">
                  <c:v>25</c:v>
                </c:pt>
                <c:pt idx="1">
                  <c:v>25</c:v>
                </c:pt>
                <c:pt idx="2">
                  <c:v>25</c:v>
                </c:pt>
                <c:pt idx="3">
                  <c:v>25</c:v>
                </c:pt>
                <c:pt idx="4">
                  <c:v>28</c:v>
                </c:pt>
                <c:pt idx="5">
                  <c:v>28</c:v>
                </c:pt>
                <c:pt idx="6">
                  <c:v>34</c:v>
                </c:pt>
                <c:pt idx="7">
                  <c:v>33</c:v>
                </c:pt>
                <c:pt idx="8">
                  <c:v>29</c:v>
                </c:pt>
                <c:pt idx="9">
                  <c:v>29</c:v>
                </c:pt>
                <c:pt idx="10">
                  <c:v>46</c:v>
                </c:pt>
                <c:pt idx="11">
                  <c:v>46</c:v>
                </c:pt>
                <c:pt idx="12">
                  <c:v>46</c:v>
                </c:pt>
                <c:pt idx="13">
                  <c:v>46</c:v>
                </c:pt>
                <c:pt idx="14">
                  <c:v>46</c:v>
                </c:pt>
                <c:pt idx="15">
                  <c:v>46</c:v>
                </c:pt>
                <c:pt idx="16">
                  <c:v>47</c:v>
                </c:pt>
                <c:pt idx="17">
                  <c:v>54</c:v>
                </c:pt>
                <c:pt idx="18">
                  <c:v>54</c:v>
                </c:pt>
                <c:pt idx="19">
                  <c:v>54</c:v>
                </c:pt>
                <c:pt idx="20">
                  <c:v>36</c:v>
                </c:pt>
                <c:pt idx="21">
                  <c:v>32</c:v>
                </c:pt>
                <c:pt idx="22">
                  <c:v>32</c:v>
                </c:pt>
                <c:pt idx="23">
                  <c:v>32</c:v>
                </c:pt>
                <c:pt idx="24">
                  <c:v>32</c:v>
                </c:pt>
                <c:pt idx="25">
                  <c:v>32</c:v>
                </c:pt>
                <c:pt idx="26">
                  <c:v>32</c:v>
                </c:pt>
                <c:pt idx="27">
                  <c:v>32</c:v>
                </c:pt>
                <c:pt idx="28">
                  <c:v>46</c:v>
                </c:pt>
                <c:pt idx="29">
                  <c:v>46</c:v>
                </c:pt>
                <c:pt idx="30">
                  <c:v>46</c:v>
                </c:pt>
                <c:pt idx="31">
                  <c:v>46</c:v>
                </c:pt>
                <c:pt idx="32">
                  <c:v>45</c:v>
                </c:pt>
                <c:pt idx="33">
                  <c:v>45</c:v>
                </c:pt>
                <c:pt idx="34">
                  <c:v>45</c:v>
                </c:pt>
                <c:pt idx="35">
                  <c:v>45</c:v>
                </c:pt>
                <c:pt idx="36">
                  <c:v>45</c:v>
                </c:pt>
                <c:pt idx="37">
                  <c:v>45</c:v>
                </c:pt>
                <c:pt idx="38">
                  <c:v>45</c:v>
                </c:pt>
                <c:pt idx="39">
                  <c:v>47</c:v>
                </c:pt>
                <c:pt idx="40">
                  <c:v>41</c:v>
                </c:pt>
                <c:pt idx="41">
                  <c:v>41</c:v>
                </c:pt>
                <c:pt idx="42">
                  <c:v>41</c:v>
                </c:pt>
                <c:pt idx="43">
                  <c:v>41</c:v>
                </c:pt>
                <c:pt idx="44">
                  <c:v>36</c:v>
                </c:pt>
                <c:pt idx="45">
                  <c:v>36</c:v>
                </c:pt>
                <c:pt idx="46">
                  <c:v>36</c:v>
                </c:pt>
                <c:pt idx="47">
                  <c:v>36</c:v>
                </c:pt>
                <c:pt idx="48">
                  <c:v>36</c:v>
                </c:pt>
                <c:pt idx="49">
                  <c:v>36</c:v>
                </c:pt>
                <c:pt idx="50">
                  <c:v>34</c:v>
                </c:pt>
                <c:pt idx="51">
                  <c:v>34</c:v>
                </c:pt>
                <c:pt idx="52">
                  <c:v>34</c:v>
                </c:pt>
                <c:pt idx="53">
                  <c:v>8</c:v>
                </c:pt>
                <c:pt idx="54">
                  <c:v>8</c:v>
                </c:pt>
                <c:pt idx="55">
                  <c:v>8</c:v>
                </c:pt>
                <c:pt idx="56">
                  <c:v>8</c:v>
                </c:pt>
                <c:pt idx="57">
                  <c:v>8</c:v>
                </c:pt>
                <c:pt idx="58">
                  <c:v>8</c:v>
                </c:pt>
                <c:pt idx="59">
                  <c:v>8</c:v>
                </c:pt>
                <c:pt idx="60">
                  <c:v>11</c:v>
                </c:pt>
                <c:pt idx="61">
                  <c:v>8</c:v>
                </c:pt>
                <c:pt idx="62">
                  <c:v>8</c:v>
                </c:pt>
                <c:pt idx="63">
                  <c:v>8</c:v>
                </c:pt>
                <c:pt idx="64">
                  <c:v>8</c:v>
                </c:pt>
              </c:numCache>
            </c:numRef>
          </c:val>
          <c:smooth val="0"/>
          <c:extLst>
            <c:ext xmlns:c16="http://schemas.microsoft.com/office/drawing/2014/chart" uri="{C3380CC4-5D6E-409C-BE32-E72D297353CC}">
              <c16:uniqueId val="{00000000-C892-4262-AB63-3B472E8CB6F8}"/>
            </c:ext>
          </c:extLst>
        </c:ser>
        <c:dLbls>
          <c:showLegendKey val="0"/>
          <c:showVal val="0"/>
          <c:showCatName val="0"/>
          <c:showSerName val="0"/>
          <c:showPercent val="0"/>
          <c:showBubbleSize val="0"/>
        </c:dLbls>
        <c:smooth val="0"/>
        <c:axId val="19069264"/>
        <c:axId val="19071584"/>
        <c:extLst>
          <c:ext xmlns:c15="http://schemas.microsoft.com/office/drawing/2012/chart" uri="{02D57815-91ED-43cb-92C2-25804820EDAC}">
            <c15:filteredLineSeries>
              <c15:ser>
                <c:idx val="0"/>
                <c:order val="0"/>
                <c:tx>
                  <c:strRef>
                    <c:extLst>
                      <c:ext uri="{02D57815-91ED-43cb-92C2-25804820EDAC}">
                        <c15:formulaRef>
                          <c15:sqref>density!$D$1</c15:sqref>
                        </c15:formulaRef>
                      </c:ext>
                    </c:extLst>
                    <c:strCache>
                      <c:ptCount val="1"/>
                      <c:pt idx="0">
                        <c:v># Rivalries</c:v>
                      </c:pt>
                    </c:strCache>
                  </c:strRef>
                </c:tx>
                <c:spPr>
                  <a:ln w="28575" cap="rnd">
                    <a:solidFill>
                      <a:schemeClr val="accent1"/>
                    </a:solidFill>
                    <a:round/>
                  </a:ln>
                  <a:effectLst/>
                </c:spPr>
                <c:marker>
                  <c:symbol val="none"/>
                </c:marker>
                <c:cat>
                  <c:numRef>
                    <c:extLst>
                      <c:ext uri="{02D57815-91ED-43cb-92C2-25804820EDAC}">
                        <c15:formulaRef>
                          <c15:sqref>density!$A$2:$A$66</c15:sqref>
                        </c15:formulaRef>
                      </c:ext>
                    </c:extLst>
                    <c:numCache>
                      <c:formatCode>General</c:formatCode>
                      <c:ptCount val="65"/>
                      <c:pt idx="0">
                        <c:v>1951</c:v>
                      </c:pt>
                      <c:pt idx="1">
                        <c:v>1952</c:v>
                      </c:pt>
                      <c:pt idx="2">
                        <c:v>1953</c:v>
                      </c:pt>
                      <c:pt idx="3">
                        <c:v>1954</c:v>
                      </c:pt>
                      <c:pt idx="4">
                        <c:v>1955</c:v>
                      </c:pt>
                      <c:pt idx="5">
                        <c:v>1956</c:v>
                      </c:pt>
                      <c:pt idx="6">
                        <c:v>1957</c:v>
                      </c:pt>
                      <c:pt idx="7">
                        <c:v>1958</c:v>
                      </c:pt>
                      <c:pt idx="8">
                        <c:v>1959</c:v>
                      </c:pt>
                      <c:pt idx="9">
                        <c:v>1960</c:v>
                      </c:pt>
                      <c:pt idx="10">
                        <c:v>1961</c:v>
                      </c:pt>
                      <c:pt idx="11">
                        <c:v>1962</c:v>
                      </c:pt>
                      <c:pt idx="12">
                        <c:v>1963</c:v>
                      </c:pt>
                      <c:pt idx="13">
                        <c:v>1964</c:v>
                      </c:pt>
                      <c:pt idx="14">
                        <c:v>1965</c:v>
                      </c:pt>
                      <c:pt idx="15">
                        <c:v>1966</c:v>
                      </c:pt>
                      <c:pt idx="16">
                        <c:v>1967</c:v>
                      </c:pt>
                      <c:pt idx="17">
                        <c:v>1968</c:v>
                      </c:pt>
                      <c:pt idx="18">
                        <c:v>1969</c:v>
                      </c:pt>
                      <c:pt idx="19">
                        <c:v>1970</c:v>
                      </c:pt>
                      <c:pt idx="20">
                        <c:v>1971</c:v>
                      </c:pt>
                      <c:pt idx="21">
                        <c:v>1972</c:v>
                      </c:pt>
                      <c:pt idx="22">
                        <c:v>1973</c:v>
                      </c:pt>
                      <c:pt idx="23">
                        <c:v>1974</c:v>
                      </c:pt>
                      <c:pt idx="24">
                        <c:v>1975</c:v>
                      </c:pt>
                      <c:pt idx="25">
                        <c:v>1976</c:v>
                      </c:pt>
                      <c:pt idx="26">
                        <c:v>1977</c:v>
                      </c:pt>
                      <c:pt idx="27">
                        <c:v>1978</c:v>
                      </c:pt>
                      <c:pt idx="28">
                        <c:v>1979</c:v>
                      </c:pt>
                      <c:pt idx="29">
                        <c:v>1980</c:v>
                      </c:pt>
                      <c:pt idx="30">
                        <c:v>1981</c:v>
                      </c:pt>
                      <c:pt idx="31">
                        <c:v>1982</c:v>
                      </c:pt>
                      <c:pt idx="32">
                        <c:v>1983</c:v>
                      </c:pt>
                      <c:pt idx="33">
                        <c:v>1984</c:v>
                      </c:pt>
                      <c:pt idx="34">
                        <c:v>1985</c:v>
                      </c:pt>
                      <c:pt idx="35">
                        <c:v>1986</c:v>
                      </c:pt>
                      <c:pt idx="36">
                        <c:v>1987</c:v>
                      </c:pt>
                      <c:pt idx="37">
                        <c:v>1988</c:v>
                      </c:pt>
                      <c:pt idx="38">
                        <c:v>1989</c:v>
                      </c:pt>
                      <c:pt idx="39">
                        <c:v>1990</c:v>
                      </c:pt>
                      <c:pt idx="40">
                        <c:v>1991</c:v>
                      </c:pt>
                      <c:pt idx="41">
                        <c:v>1992</c:v>
                      </c:pt>
                      <c:pt idx="42">
                        <c:v>1993</c:v>
                      </c:pt>
                      <c:pt idx="43">
                        <c:v>1994</c:v>
                      </c:pt>
                      <c:pt idx="44">
                        <c:v>1995</c:v>
                      </c:pt>
                      <c:pt idx="45">
                        <c:v>1996</c:v>
                      </c:pt>
                      <c:pt idx="46">
                        <c:v>1997</c:v>
                      </c:pt>
                      <c:pt idx="47">
                        <c:v>1998</c:v>
                      </c:pt>
                      <c:pt idx="48">
                        <c:v>1999</c:v>
                      </c:pt>
                      <c:pt idx="49">
                        <c:v>2000</c:v>
                      </c:pt>
                      <c:pt idx="50">
                        <c:v>2001</c:v>
                      </c:pt>
                      <c:pt idx="51">
                        <c:v>2002</c:v>
                      </c:pt>
                      <c:pt idx="52">
                        <c:v>2003</c:v>
                      </c:pt>
                      <c:pt idx="53">
                        <c:v>2004</c:v>
                      </c:pt>
                      <c:pt idx="54">
                        <c:v>2005</c:v>
                      </c:pt>
                      <c:pt idx="55">
                        <c:v>2006</c:v>
                      </c:pt>
                      <c:pt idx="56">
                        <c:v>2007</c:v>
                      </c:pt>
                      <c:pt idx="57">
                        <c:v>2008</c:v>
                      </c:pt>
                      <c:pt idx="58">
                        <c:v>2009</c:v>
                      </c:pt>
                      <c:pt idx="59">
                        <c:v>2010</c:v>
                      </c:pt>
                      <c:pt idx="60">
                        <c:v>2011</c:v>
                      </c:pt>
                      <c:pt idx="61">
                        <c:v>2012</c:v>
                      </c:pt>
                      <c:pt idx="62">
                        <c:v>2013</c:v>
                      </c:pt>
                      <c:pt idx="63">
                        <c:v>2014</c:v>
                      </c:pt>
                      <c:pt idx="64">
                        <c:v>2015</c:v>
                      </c:pt>
                    </c:numCache>
                  </c:numRef>
                </c:cat>
                <c:val>
                  <c:numRef>
                    <c:extLst>
                      <c:ext uri="{02D57815-91ED-43cb-92C2-25804820EDAC}">
                        <c15:formulaRef>
                          <c15:sqref>density!$D$2:$D$66</c15:sqref>
                        </c15:formulaRef>
                      </c:ext>
                    </c:extLst>
                    <c:numCache>
                      <c:formatCode>General</c:formatCode>
                      <c:ptCount val="65"/>
                      <c:pt idx="0">
                        <c:v>10</c:v>
                      </c:pt>
                      <c:pt idx="1">
                        <c:v>10</c:v>
                      </c:pt>
                      <c:pt idx="2">
                        <c:v>10</c:v>
                      </c:pt>
                      <c:pt idx="3">
                        <c:v>10</c:v>
                      </c:pt>
                      <c:pt idx="4">
                        <c:v>11</c:v>
                      </c:pt>
                      <c:pt idx="5">
                        <c:v>11</c:v>
                      </c:pt>
                      <c:pt idx="6">
                        <c:v>12</c:v>
                      </c:pt>
                      <c:pt idx="7">
                        <c:v>12</c:v>
                      </c:pt>
                      <c:pt idx="8">
                        <c:v>11</c:v>
                      </c:pt>
                      <c:pt idx="9">
                        <c:v>11</c:v>
                      </c:pt>
                      <c:pt idx="10">
                        <c:v>14</c:v>
                      </c:pt>
                      <c:pt idx="11">
                        <c:v>14</c:v>
                      </c:pt>
                      <c:pt idx="12">
                        <c:v>14</c:v>
                      </c:pt>
                      <c:pt idx="13">
                        <c:v>14</c:v>
                      </c:pt>
                      <c:pt idx="14">
                        <c:v>14</c:v>
                      </c:pt>
                      <c:pt idx="15">
                        <c:v>14</c:v>
                      </c:pt>
                      <c:pt idx="16">
                        <c:v>16</c:v>
                      </c:pt>
                      <c:pt idx="17">
                        <c:v>17</c:v>
                      </c:pt>
                      <c:pt idx="18">
                        <c:v>17</c:v>
                      </c:pt>
                      <c:pt idx="19">
                        <c:v>17</c:v>
                      </c:pt>
                      <c:pt idx="20">
                        <c:v>14</c:v>
                      </c:pt>
                      <c:pt idx="21">
                        <c:v>13</c:v>
                      </c:pt>
                      <c:pt idx="22">
                        <c:v>13</c:v>
                      </c:pt>
                      <c:pt idx="23">
                        <c:v>13</c:v>
                      </c:pt>
                      <c:pt idx="24">
                        <c:v>13</c:v>
                      </c:pt>
                      <c:pt idx="25">
                        <c:v>13</c:v>
                      </c:pt>
                      <c:pt idx="26">
                        <c:v>13</c:v>
                      </c:pt>
                      <c:pt idx="27">
                        <c:v>13</c:v>
                      </c:pt>
                      <c:pt idx="28">
                        <c:v>16</c:v>
                      </c:pt>
                      <c:pt idx="29">
                        <c:v>16</c:v>
                      </c:pt>
                      <c:pt idx="30">
                        <c:v>16</c:v>
                      </c:pt>
                      <c:pt idx="31">
                        <c:v>16</c:v>
                      </c:pt>
                      <c:pt idx="32">
                        <c:v>15</c:v>
                      </c:pt>
                      <c:pt idx="33">
                        <c:v>15</c:v>
                      </c:pt>
                      <c:pt idx="34">
                        <c:v>15</c:v>
                      </c:pt>
                      <c:pt idx="35">
                        <c:v>16</c:v>
                      </c:pt>
                      <c:pt idx="36">
                        <c:v>16</c:v>
                      </c:pt>
                      <c:pt idx="37">
                        <c:v>16</c:v>
                      </c:pt>
                      <c:pt idx="38">
                        <c:v>16</c:v>
                      </c:pt>
                      <c:pt idx="39">
                        <c:v>16</c:v>
                      </c:pt>
                      <c:pt idx="40">
                        <c:v>15</c:v>
                      </c:pt>
                      <c:pt idx="41">
                        <c:v>15</c:v>
                      </c:pt>
                      <c:pt idx="42">
                        <c:v>15</c:v>
                      </c:pt>
                      <c:pt idx="43">
                        <c:v>15</c:v>
                      </c:pt>
                      <c:pt idx="44">
                        <c:v>14</c:v>
                      </c:pt>
                      <c:pt idx="45">
                        <c:v>14</c:v>
                      </c:pt>
                      <c:pt idx="46">
                        <c:v>14</c:v>
                      </c:pt>
                      <c:pt idx="47">
                        <c:v>14</c:v>
                      </c:pt>
                      <c:pt idx="48">
                        <c:v>14</c:v>
                      </c:pt>
                      <c:pt idx="49">
                        <c:v>14</c:v>
                      </c:pt>
                      <c:pt idx="50">
                        <c:v>13</c:v>
                      </c:pt>
                      <c:pt idx="51">
                        <c:v>12</c:v>
                      </c:pt>
                      <c:pt idx="52">
                        <c:v>12</c:v>
                      </c:pt>
                      <c:pt idx="53">
                        <c:v>7</c:v>
                      </c:pt>
                      <c:pt idx="54">
                        <c:v>7</c:v>
                      </c:pt>
                      <c:pt idx="55">
                        <c:v>7</c:v>
                      </c:pt>
                      <c:pt idx="56">
                        <c:v>7</c:v>
                      </c:pt>
                      <c:pt idx="57">
                        <c:v>7</c:v>
                      </c:pt>
                      <c:pt idx="58">
                        <c:v>7</c:v>
                      </c:pt>
                      <c:pt idx="59">
                        <c:v>7</c:v>
                      </c:pt>
                      <c:pt idx="60">
                        <c:v>8</c:v>
                      </c:pt>
                      <c:pt idx="61">
                        <c:v>7</c:v>
                      </c:pt>
                      <c:pt idx="62">
                        <c:v>7</c:v>
                      </c:pt>
                      <c:pt idx="63">
                        <c:v>7</c:v>
                      </c:pt>
                      <c:pt idx="64">
                        <c:v>7</c:v>
                      </c:pt>
                    </c:numCache>
                  </c:numRef>
                </c:val>
                <c:smooth val="0"/>
                <c:extLst>
                  <c:ext xmlns:c16="http://schemas.microsoft.com/office/drawing/2014/chart" uri="{C3380CC4-5D6E-409C-BE32-E72D297353CC}">
                    <c16:uniqueId val="{00000001-C892-4262-AB63-3B472E8CB6F8}"/>
                  </c:ext>
                </c:extLst>
              </c15:ser>
            </c15:filteredLineSeries>
          </c:ext>
        </c:extLst>
      </c:lineChart>
      <c:catAx>
        <c:axId val="19069264"/>
        <c:scaling>
          <c:orientation val="minMax"/>
        </c:scaling>
        <c:delete val="0"/>
        <c:axPos val="b"/>
        <c:numFmt formatCode="General" sourceLinked="0"/>
        <c:majorTickMark val="out"/>
        <c:minorTickMark val="out"/>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071584"/>
        <c:crosses val="autoZero"/>
        <c:auto val="1"/>
        <c:lblAlgn val="ctr"/>
        <c:lblOffset val="100"/>
        <c:tickLblSkip val="4"/>
        <c:noMultiLvlLbl val="0"/>
      </c:catAx>
      <c:valAx>
        <c:axId val="1907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06926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ln>
            <a:noFill/>
          </a:ln>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216097987751501E-2"/>
          <c:y val="0.12224121557454901"/>
          <c:w val="0.92527962850797496"/>
          <c:h val="0.63816258010483695"/>
        </c:manualLayout>
      </c:layout>
      <c:barChart>
        <c:barDir val="col"/>
        <c:grouping val="clustered"/>
        <c:varyColors val="0"/>
        <c:ser>
          <c:idx val="0"/>
          <c:order val="0"/>
          <c:tx>
            <c:strRef>
              <c:f>'density plot'!$K$33</c:f>
              <c:strCache>
                <c:ptCount val="1"/>
                <c:pt idx="0">
                  <c:v>Average Annual  Severe MIDs in Region involving a Rivalry</c:v>
                </c:pt>
              </c:strCache>
            </c:strRef>
          </c:tx>
          <c:spPr>
            <a:solidFill>
              <a:schemeClr val="bg2">
                <a:lumMod val="90000"/>
              </a:schemeClr>
            </a:solidFill>
            <a:ln>
              <a:noFill/>
            </a:ln>
            <a:effectLst/>
          </c:spPr>
          <c:invertIfNegative val="0"/>
          <c:cat>
            <c:strRef>
              <c:f>'density plot'!$L$27:$Q$27</c:f>
              <c:strCache>
                <c:ptCount val="5"/>
                <c:pt idx="0">
                  <c:v>density growth</c:v>
                </c:pt>
                <c:pt idx="2">
                  <c:v>stable density</c:v>
                </c:pt>
                <c:pt idx="4">
                  <c:v>lower density</c:v>
                </c:pt>
              </c:strCache>
            </c:strRef>
          </c:cat>
          <c:val>
            <c:numRef>
              <c:f>'density plot'!$L$33:$P$33</c:f>
              <c:numCache>
                <c:formatCode>General</c:formatCode>
                <c:ptCount val="5"/>
                <c:pt idx="0">
                  <c:v>6.75</c:v>
                </c:pt>
                <c:pt idx="2">
                  <c:v>3.54</c:v>
                </c:pt>
                <c:pt idx="4">
                  <c:v>1.63</c:v>
                </c:pt>
              </c:numCache>
            </c:numRef>
          </c:val>
          <c:extLst>
            <c:ext xmlns:c16="http://schemas.microsoft.com/office/drawing/2014/chart" uri="{C3380CC4-5D6E-409C-BE32-E72D297353CC}">
              <c16:uniqueId val="{00000000-3092-4078-8358-C090E5B2938E}"/>
            </c:ext>
          </c:extLst>
        </c:ser>
        <c:ser>
          <c:idx val="1"/>
          <c:order val="1"/>
          <c:tx>
            <c:strRef>
              <c:f>'density plot'!$K$35</c:f>
              <c:strCache>
                <c:ptCount val="1"/>
                <c:pt idx="0">
                  <c:v>Average Annual Severe MIDs in Region</c:v>
                </c:pt>
              </c:strCache>
            </c:strRef>
          </c:tx>
          <c:spPr>
            <a:solidFill>
              <a:schemeClr val="tx1"/>
            </a:solidFill>
            <a:ln>
              <a:noFill/>
            </a:ln>
            <a:effectLst/>
          </c:spPr>
          <c:invertIfNegative val="0"/>
          <c:val>
            <c:numRef>
              <c:f>'density plot'!$L$35:$P$35</c:f>
              <c:numCache>
                <c:formatCode>General</c:formatCode>
                <c:ptCount val="5"/>
                <c:pt idx="0">
                  <c:v>8.4</c:v>
                </c:pt>
                <c:pt idx="2">
                  <c:v>9.5</c:v>
                </c:pt>
                <c:pt idx="4">
                  <c:v>6.38</c:v>
                </c:pt>
              </c:numCache>
            </c:numRef>
          </c:val>
          <c:extLst>
            <c:ext xmlns:c16="http://schemas.microsoft.com/office/drawing/2014/chart" uri="{C3380CC4-5D6E-409C-BE32-E72D297353CC}">
              <c16:uniqueId val="{00000001-3092-4078-8358-C090E5B2938E}"/>
            </c:ext>
          </c:extLst>
        </c:ser>
        <c:dLbls>
          <c:showLegendKey val="0"/>
          <c:showVal val="0"/>
          <c:showCatName val="0"/>
          <c:showSerName val="0"/>
          <c:showPercent val="0"/>
          <c:showBubbleSize val="0"/>
        </c:dLbls>
        <c:gapWidth val="75"/>
        <c:overlap val="-25"/>
        <c:axId val="85169984"/>
        <c:axId val="85172304"/>
      </c:barChart>
      <c:catAx>
        <c:axId val="8516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85172304"/>
        <c:crosses val="autoZero"/>
        <c:auto val="1"/>
        <c:lblAlgn val="ctr"/>
        <c:lblOffset val="100"/>
        <c:noMultiLvlLbl val="0"/>
      </c:catAx>
      <c:valAx>
        <c:axId val="8517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85169984"/>
        <c:crosses val="autoZero"/>
        <c:crossBetween val="between"/>
      </c:valAx>
      <c:spPr>
        <a:noFill/>
        <a:ln>
          <a:noFill/>
        </a:ln>
        <a:effectLst/>
      </c:spPr>
    </c:plotArea>
    <c:legend>
      <c:legendPos val="b"/>
      <c:layout>
        <c:manualLayout>
          <c:xMode val="edge"/>
          <c:yMode val="edge"/>
          <c:x val="0.184709940103641"/>
          <c:y val="0.87271761969924699"/>
          <c:w val="0.69254576351033104"/>
          <c:h val="0.1272823803007530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216097987751501E-2"/>
          <c:y val="0.26324786324786298"/>
          <c:w val="0.92527962850797496"/>
          <c:h val="0.61091504587567602"/>
        </c:manualLayout>
      </c:layout>
      <c:lineChart>
        <c:grouping val="standard"/>
        <c:varyColors val="0"/>
        <c:ser>
          <c:idx val="1"/>
          <c:order val="1"/>
          <c:tx>
            <c:strRef>
              <c:f>density!$E$1</c:f>
              <c:strCache>
                <c:ptCount val="1"/>
                <c:pt idx="0">
                  <c:v># Links</c:v>
                </c:pt>
              </c:strCache>
            </c:strRef>
          </c:tx>
          <c:spPr>
            <a:ln w="28575" cap="rnd">
              <a:solidFill>
                <a:schemeClr val="tx1"/>
              </a:solidFill>
              <a:round/>
            </a:ln>
            <a:effectLst/>
          </c:spPr>
          <c:marker>
            <c:symbol val="none"/>
          </c:marker>
          <c:cat>
            <c:numRef>
              <c:f>density!$A$2:$A$66</c:f>
              <c:numCache>
                <c:formatCode>General</c:formatCode>
                <c:ptCount val="65"/>
                <c:pt idx="0">
                  <c:v>1951</c:v>
                </c:pt>
                <c:pt idx="1">
                  <c:v>1952</c:v>
                </c:pt>
                <c:pt idx="2">
                  <c:v>1953</c:v>
                </c:pt>
                <c:pt idx="3">
                  <c:v>1954</c:v>
                </c:pt>
                <c:pt idx="4">
                  <c:v>1955</c:v>
                </c:pt>
                <c:pt idx="5">
                  <c:v>1956</c:v>
                </c:pt>
                <c:pt idx="6">
                  <c:v>1957</c:v>
                </c:pt>
                <c:pt idx="7">
                  <c:v>1958</c:v>
                </c:pt>
                <c:pt idx="8">
                  <c:v>1959</c:v>
                </c:pt>
                <c:pt idx="9">
                  <c:v>1960</c:v>
                </c:pt>
                <c:pt idx="10">
                  <c:v>1961</c:v>
                </c:pt>
                <c:pt idx="11">
                  <c:v>1962</c:v>
                </c:pt>
                <c:pt idx="12">
                  <c:v>1963</c:v>
                </c:pt>
                <c:pt idx="13">
                  <c:v>1964</c:v>
                </c:pt>
                <c:pt idx="14">
                  <c:v>1965</c:v>
                </c:pt>
                <c:pt idx="15">
                  <c:v>1966</c:v>
                </c:pt>
                <c:pt idx="16">
                  <c:v>1967</c:v>
                </c:pt>
                <c:pt idx="17">
                  <c:v>1968</c:v>
                </c:pt>
                <c:pt idx="18">
                  <c:v>1969</c:v>
                </c:pt>
                <c:pt idx="19">
                  <c:v>1970</c:v>
                </c:pt>
                <c:pt idx="20">
                  <c:v>1971</c:v>
                </c:pt>
                <c:pt idx="21">
                  <c:v>1972</c:v>
                </c:pt>
                <c:pt idx="22">
                  <c:v>1973</c:v>
                </c:pt>
                <c:pt idx="23">
                  <c:v>1974</c:v>
                </c:pt>
                <c:pt idx="24">
                  <c:v>1975</c:v>
                </c:pt>
                <c:pt idx="25">
                  <c:v>1976</c:v>
                </c:pt>
                <c:pt idx="26">
                  <c:v>1977</c:v>
                </c:pt>
                <c:pt idx="27">
                  <c:v>1978</c:v>
                </c:pt>
                <c:pt idx="28">
                  <c:v>1979</c:v>
                </c:pt>
                <c:pt idx="29">
                  <c:v>1980</c:v>
                </c:pt>
                <c:pt idx="30">
                  <c:v>1981</c:v>
                </c:pt>
                <c:pt idx="31">
                  <c:v>1982</c:v>
                </c:pt>
                <c:pt idx="32">
                  <c:v>1983</c:v>
                </c:pt>
                <c:pt idx="33">
                  <c:v>1984</c:v>
                </c:pt>
                <c:pt idx="34">
                  <c:v>1985</c:v>
                </c:pt>
                <c:pt idx="35">
                  <c:v>1986</c:v>
                </c:pt>
                <c:pt idx="36">
                  <c:v>1987</c:v>
                </c:pt>
                <c:pt idx="37">
                  <c:v>1988</c:v>
                </c:pt>
                <c:pt idx="38">
                  <c:v>1989</c:v>
                </c:pt>
                <c:pt idx="39">
                  <c:v>1990</c:v>
                </c:pt>
                <c:pt idx="40">
                  <c:v>1991</c:v>
                </c:pt>
                <c:pt idx="41">
                  <c:v>1992</c:v>
                </c:pt>
                <c:pt idx="42">
                  <c:v>1993</c:v>
                </c:pt>
                <c:pt idx="43">
                  <c:v>1994</c:v>
                </c:pt>
                <c:pt idx="44">
                  <c:v>1995</c:v>
                </c:pt>
                <c:pt idx="45">
                  <c:v>1996</c:v>
                </c:pt>
                <c:pt idx="46">
                  <c:v>1997</c:v>
                </c:pt>
                <c:pt idx="47">
                  <c:v>1998</c:v>
                </c:pt>
                <c:pt idx="48">
                  <c:v>1999</c:v>
                </c:pt>
                <c:pt idx="49">
                  <c:v>2000</c:v>
                </c:pt>
                <c:pt idx="50">
                  <c:v>2001</c:v>
                </c:pt>
                <c:pt idx="51">
                  <c:v>2002</c:v>
                </c:pt>
                <c:pt idx="52">
                  <c:v>2003</c:v>
                </c:pt>
                <c:pt idx="53">
                  <c:v>2004</c:v>
                </c:pt>
                <c:pt idx="54">
                  <c:v>2005</c:v>
                </c:pt>
                <c:pt idx="55">
                  <c:v>2006</c:v>
                </c:pt>
                <c:pt idx="56">
                  <c:v>2007</c:v>
                </c:pt>
                <c:pt idx="57">
                  <c:v>2008</c:v>
                </c:pt>
                <c:pt idx="58">
                  <c:v>2009</c:v>
                </c:pt>
                <c:pt idx="59">
                  <c:v>2010</c:v>
                </c:pt>
                <c:pt idx="60">
                  <c:v>2011</c:v>
                </c:pt>
                <c:pt idx="61">
                  <c:v>2012</c:v>
                </c:pt>
                <c:pt idx="62">
                  <c:v>2013</c:v>
                </c:pt>
                <c:pt idx="63">
                  <c:v>2014</c:v>
                </c:pt>
                <c:pt idx="64">
                  <c:v>2015</c:v>
                </c:pt>
              </c:numCache>
            </c:numRef>
          </c:cat>
          <c:val>
            <c:numRef>
              <c:f>density!$E$2:$E$66</c:f>
              <c:numCache>
                <c:formatCode>General</c:formatCode>
                <c:ptCount val="65"/>
                <c:pt idx="0">
                  <c:v>25</c:v>
                </c:pt>
                <c:pt idx="1">
                  <c:v>25</c:v>
                </c:pt>
                <c:pt idx="2">
                  <c:v>25</c:v>
                </c:pt>
                <c:pt idx="3">
                  <c:v>25</c:v>
                </c:pt>
                <c:pt idx="4">
                  <c:v>28</c:v>
                </c:pt>
                <c:pt idx="5">
                  <c:v>28</c:v>
                </c:pt>
                <c:pt idx="6">
                  <c:v>34</c:v>
                </c:pt>
                <c:pt idx="7">
                  <c:v>33</c:v>
                </c:pt>
                <c:pt idx="8">
                  <c:v>29</c:v>
                </c:pt>
                <c:pt idx="9">
                  <c:v>29</c:v>
                </c:pt>
                <c:pt idx="10">
                  <c:v>46</c:v>
                </c:pt>
                <c:pt idx="11">
                  <c:v>46</c:v>
                </c:pt>
                <c:pt idx="12">
                  <c:v>46</c:v>
                </c:pt>
                <c:pt idx="13">
                  <c:v>46</c:v>
                </c:pt>
                <c:pt idx="14">
                  <c:v>46</c:v>
                </c:pt>
                <c:pt idx="15">
                  <c:v>46</c:v>
                </c:pt>
                <c:pt idx="16">
                  <c:v>47</c:v>
                </c:pt>
                <c:pt idx="17">
                  <c:v>54</c:v>
                </c:pt>
                <c:pt idx="18">
                  <c:v>54</c:v>
                </c:pt>
                <c:pt idx="19">
                  <c:v>54</c:v>
                </c:pt>
                <c:pt idx="20">
                  <c:v>36</c:v>
                </c:pt>
                <c:pt idx="21">
                  <c:v>32</c:v>
                </c:pt>
                <c:pt idx="22">
                  <c:v>32</c:v>
                </c:pt>
                <c:pt idx="23">
                  <c:v>32</c:v>
                </c:pt>
                <c:pt idx="24">
                  <c:v>32</c:v>
                </c:pt>
                <c:pt idx="25">
                  <c:v>32</c:v>
                </c:pt>
                <c:pt idx="26">
                  <c:v>32</c:v>
                </c:pt>
                <c:pt idx="27">
                  <c:v>32</c:v>
                </c:pt>
                <c:pt idx="28">
                  <c:v>46</c:v>
                </c:pt>
                <c:pt idx="29">
                  <c:v>46</c:v>
                </c:pt>
                <c:pt idx="30">
                  <c:v>46</c:v>
                </c:pt>
                <c:pt idx="31">
                  <c:v>46</c:v>
                </c:pt>
                <c:pt idx="32">
                  <c:v>45</c:v>
                </c:pt>
                <c:pt idx="33">
                  <c:v>45</c:v>
                </c:pt>
                <c:pt idx="34">
                  <c:v>45</c:v>
                </c:pt>
                <c:pt idx="35">
                  <c:v>45</c:v>
                </c:pt>
                <c:pt idx="36">
                  <c:v>45</c:v>
                </c:pt>
                <c:pt idx="37">
                  <c:v>45</c:v>
                </c:pt>
                <c:pt idx="38">
                  <c:v>45</c:v>
                </c:pt>
                <c:pt idx="39">
                  <c:v>47</c:v>
                </c:pt>
                <c:pt idx="40">
                  <c:v>41</c:v>
                </c:pt>
                <c:pt idx="41">
                  <c:v>41</c:v>
                </c:pt>
                <c:pt idx="42">
                  <c:v>41</c:v>
                </c:pt>
                <c:pt idx="43">
                  <c:v>41</c:v>
                </c:pt>
                <c:pt idx="44">
                  <c:v>36</c:v>
                </c:pt>
                <c:pt idx="45">
                  <c:v>36</c:v>
                </c:pt>
                <c:pt idx="46">
                  <c:v>36</c:v>
                </c:pt>
                <c:pt idx="47">
                  <c:v>36</c:v>
                </c:pt>
                <c:pt idx="48">
                  <c:v>36</c:v>
                </c:pt>
                <c:pt idx="49">
                  <c:v>36</c:v>
                </c:pt>
                <c:pt idx="50">
                  <c:v>34</c:v>
                </c:pt>
                <c:pt idx="51">
                  <c:v>34</c:v>
                </c:pt>
                <c:pt idx="52">
                  <c:v>34</c:v>
                </c:pt>
                <c:pt idx="53">
                  <c:v>8</c:v>
                </c:pt>
                <c:pt idx="54">
                  <c:v>8</c:v>
                </c:pt>
                <c:pt idx="55">
                  <c:v>8</c:v>
                </c:pt>
                <c:pt idx="56">
                  <c:v>8</c:v>
                </c:pt>
                <c:pt idx="57">
                  <c:v>8</c:v>
                </c:pt>
                <c:pt idx="58">
                  <c:v>8</c:v>
                </c:pt>
                <c:pt idx="59">
                  <c:v>8</c:v>
                </c:pt>
                <c:pt idx="60">
                  <c:v>11</c:v>
                </c:pt>
                <c:pt idx="61">
                  <c:v>8</c:v>
                </c:pt>
                <c:pt idx="62">
                  <c:v>8</c:v>
                </c:pt>
                <c:pt idx="63">
                  <c:v>8</c:v>
                </c:pt>
                <c:pt idx="64">
                  <c:v>8</c:v>
                </c:pt>
              </c:numCache>
            </c:numRef>
          </c:val>
          <c:smooth val="0"/>
          <c:extLst>
            <c:ext xmlns:c16="http://schemas.microsoft.com/office/drawing/2014/chart" uri="{C3380CC4-5D6E-409C-BE32-E72D297353CC}">
              <c16:uniqueId val="{00000000-15FE-40EE-A388-63D36D499FD3}"/>
            </c:ext>
          </c:extLst>
        </c:ser>
        <c:dLbls>
          <c:showLegendKey val="0"/>
          <c:showVal val="0"/>
          <c:showCatName val="0"/>
          <c:showSerName val="0"/>
          <c:showPercent val="0"/>
          <c:showBubbleSize val="0"/>
        </c:dLbls>
        <c:smooth val="0"/>
        <c:axId val="19083872"/>
        <c:axId val="19086192"/>
        <c:extLst>
          <c:ext xmlns:c15="http://schemas.microsoft.com/office/drawing/2012/chart" uri="{02D57815-91ED-43cb-92C2-25804820EDAC}">
            <c15:filteredLineSeries>
              <c15:ser>
                <c:idx val="0"/>
                <c:order val="0"/>
                <c:tx>
                  <c:strRef>
                    <c:extLst>
                      <c:ext uri="{02D57815-91ED-43cb-92C2-25804820EDAC}">
                        <c15:formulaRef>
                          <c15:sqref>density!$D$1</c15:sqref>
                        </c15:formulaRef>
                      </c:ext>
                    </c:extLst>
                    <c:strCache>
                      <c:ptCount val="1"/>
                      <c:pt idx="0">
                        <c:v># Rivalries</c:v>
                      </c:pt>
                    </c:strCache>
                  </c:strRef>
                </c:tx>
                <c:spPr>
                  <a:ln w="28575" cap="rnd">
                    <a:solidFill>
                      <a:schemeClr val="accent1"/>
                    </a:solidFill>
                    <a:round/>
                  </a:ln>
                  <a:effectLst/>
                </c:spPr>
                <c:marker>
                  <c:symbol val="none"/>
                </c:marker>
                <c:cat>
                  <c:numRef>
                    <c:extLst>
                      <c:ext uri="{02D57815-91ED-43cb-92C2-25804820EDAC}">
                        <c15:formulaRef>
                          <c15:sqref>density!$A$2:$A$66</c15:sqref>
                        </c15:formulaRef>
                      </c:ext>
                    </c:extLst>
                    <c:numCache>
                      <c:formatCode>General</c:formatCode>
                      <c:ptCount val="65"/>
                      <c:pt idx="0">
                        <c:v>1951</c:v>
                      </c:pt>
                      <c:pt idx="1">
                        <c:v>1952</c:v>
                      </c:pt>
                      <c:pt idx="2">
                        <c:v>1953</c:v>
                      </c:pt>
                      <c:pt idx="3">
                        <c:v>1954</c:v>
                      </c:pt>
                      <c:pt idx="4">
                        <c:v>1955</c:v>
                      </c:pt>
                      <c:pt idx="5">
                        <c:v>1956</c:v>
                      </c:pt>
                      <c:pt idx="6">
                        <c:v>1957</c:v>
                      </c:pt>
                      <c:pt idx="7">
                        <c:v>1958</c:v>
                      </c:pt>
                      <c:pt idx="8">
                        <c:v>1959</c:v>
                      </c:pt>
                      <c:pt idx="9">
                        <c:v>1960</c:v>
                      </c:pt>
                      <c:pt idx="10">
                        <c:v>1961</c:v>
                      </c:pt>
                      <c:pt idx="11">
                        <c:v>1962</c:v>
                      </c:pt>
                      <c:pt idx="12">
                        <c:v>1963</c:v>
                      </c:pt>
                      <c:pt idx="13">
                        <c:v>1964</c:v>
                      </c:pt>
                      <c:pt idx="14">
                        <c:v>1965</c:v>
                      </c:pt>
                      <c:pt idx="15">
                        <c:v>1966</c:v>
                      </c:pt>
                      <c:pt idx="16">
                        <c:v>1967</c:v>
                      </c:pt>
                      <c:pt idx="17">
                        <c:v>1968</c:v>
                      </c:pt>
                      <c:pt idx="18">
                        <c:v>1969</c:v>
                      </c:pt>
                      <c:pt idx="19">
                        <c:v>1970</c:v>
                      </c:pt>
                      <c:pt idx="20">
                        <c:v>1971</c:v>
                      </c:pt>
                      <c:pt idx="21">
                        <c:v>1972</c:v>
                      </c:pt>
                      <c:pt idx="22">
                        <c:v>1973</c:v>
                      </c:pt>
                      <c:pt idx="23">
                        <c:v>1974</c:v>
                      </c:pt>
                      <c:pt idx="24">
                        <c:v>1975</c:v>
                      </c:pt>
                      <c:pt idx="25">
                        <c:v>1976</c:v>
                      </c:pt>
                      <c:pt idx="26">
                        <c:v>1977</c:v>
                      </c:pt>
                      <c:pt idx="27">
                        <c:v>1978</c:v>
                      </c:pt>
                      <c:pt idx="28">
                        <c:v>1979</c:v>
                      </c:pt>
                      <c:pt idx="29">
                        <c:v>1980</c:v>
                      </c:pt>
                      <c:pt idx="30">
                        <c:v>1981</c:v>
                      </c:pt>
                      <c:pt idx="31">
                        <c:v>1982</c:v>
                      </c:pt>
                      <c:pt idx="32">
                        <c:v>1983</c:v>
                      </c:pt>
                      <c:pt idx="33">
                        <c:v>1984</c:v>
                      </c:pt>
                      <c:pt idx="34">
                        <c:v>1985</c:v>
                      </c:pt>
                      <c:pt idx="35">
                        <c:v>1986</c:v>
                      </c:pt>
                      <c:pt idx="36">
                        <c:v>1987</c:v>
                      </c:pt>
                      <c:pt idx="37">
                        <c:v>1988</c:v>
                      </c:pt>
                      <c:pt idx="38">
                        <c:v>1989</c:v>
                      </c:pt>
                      <c:pt idx="39">
                        <c:v>1990</c:v>
                      </c:pt>
                      <c:pt idx="40">
                        <c:v>1991</c:v>
                      </c:pt>
                      <c:pt idx="41">
                        <c:v>1992</c:v>
                      </c:pt>
                      <c:pt idx="42">
                        <c:v>1993</c:v>
                      </c:pt>
                      <c:pt idx="43">
                        <c:v>1994</c:v>
                      </c:pt>
                      <c:pt idx="44">
                        <c:v>1995</c:v>
                      </c:pt>
                      <c:pt idx="45">
                        <c:v>1996</c:v>
                      </c:pt>
                      <c:pt idx="46">
                        <c:v>1997</c:v>
                      </c:pt>
                      <c:pt idx="47">
                        <c:v>1998</c:v>
                      </c:pt>
                      <c:pt idx="48">
                        <c:v>1999</c:v>
                      </c:pt>
                      <c:pt idx="49">
                        <c:v>2000</c:v>
                      </c:pt>
                      <c:pt idx="50">
                        <c:v>2001</c:v>
                      </c:pt>
                      <c:pt idx="51">
                        <c:v>2002</c:v>
                      </c:pt>
                      <c:pt idx="52">
                        <c:v>2003</c:v>
                      </c:pt>
                      <c:pt idx="53">
                        <c:v>2004</c:v>
                      </c:pt>
                      <c:pt idx="54">
                        <c:v>2005</c:v>
                      </c:pt>
                      <c:pt idx="55">
                        <c:v>2006</c:v>
                      </c:pt>
                      <c:pt idx="56">
                        <c:v>2007</c:v>
                      </c:pt>
                      <c:pt idx="57">
                        <c:v>2008</c:v>
                      </c:pt>
                      <c:pt idx="58">
                        <c:v>2009</c:v>
                      </c:pt>
                      <c:pt idx="59">
                        <c:v>2010</c:v>
                      </c:pt>
                      <c:pt idx="60">
                        <c:v>2011</c:v>
                      </c:pt>
                      <c:pt idx="61">
                        <c:v>2012</c:v>
                      </c:pt>
                      <c:pt idx="62">
                        <c:v>2013</c:v>
                      </c:pt>
                      <c:pt idx="63">
                        <c:v>2014</c:v>
                      </c:pt>
                      <c:pt idx="64">
                        <c:v>2015</c:v>
                      </c:pt>
                    </c:numCache>
                  </c:numRef>
                </c:cat>
                <c:val>
                  <c:numRef>
                    <c:extLst>
                      <c:ext uri="{02D57815-91ED-43cb-92C2-25804820EDAC}">
                        <c15:formulaRef>
                          <c15:sqref>density!$D$2:$D$66</c15:sqref>
                        </c15:formulaRef>
                      </c:ext>
                    </c:extLst>
                    <c:numCache>
                      <c:formatCode>General</c:formatCode>
                      <c:ptCount val="65"/>
                      <c:pt idx="0">
                        <c:v>10</c:v>
                      </c:pt>
                      <c:pt idx="1">
                        <c:v>10</c:v>
                      </c:pt>
                      <c:pt idx="2">
                        <c:v>10</c:v>
                      </c:pt>
                      <c:pt idx="3">
                        <c:v>10</c:v>
                      </c:pt>
                      <c:pt idx="4">
                        <c:v>11</c:v>
                      </c:pt>
                      <c:pt idx="5">
                        <c:v>11</c:v>
                      </c:pt>
                      <c:pt idx="6">
                        <c:v>12</c:v>
                      </c:pt>
                      <c:pt idx="7">
                        <c:v>12</c:v>
                      </c:pt>
                      <c:pt idx="8">
                        <c:v>11</c:v>
                      </c:pt>
                      <c:pt idx="9">
                        <c:v>11</c:v>
                      </c:pt>
                      <c:pt idx="10">
                        <c:v>14</c:v>
                      </c:pt>
                      <c:pt idx="11">
                        <c:v>14</c:v>
                      </c:pt>
                      <c:pt idx="12">
                        <c:v>14</c:v>
                      </c:pt>
                      <c:pt idx="13">
                        <c:v>14</c:v>
                      </c:pt>
                      <c:pt idx="14">
                        <c:v>14</c:v>
                      </c:pt>
                      <c:pt idx="15">
                        <c:v>14</c:v>
                      </c:pt>
                      <c:pt idx="16">
                        <c:v>16</c:v>
                      </c:pt>
                      <c:pt idx="17">
                        <c:v>17</c:v>
                      </c:pt>
                      <c:pt idx="18">
                        <c:v>17</c:v>
                      </c:pt>
                      <c:pt idx="19">
                        <c:v>17</c:v>
                      </c:pt>
                      <c:pt idx="20">
                        <c:v>14</c:v>
                      </c:pt>
                      <c:pt idx="21">
                        <c:v>13</c:v>
                      </c:pt>
                      <c:pt idx="22">
                        <c:v>13</c:v>
                      </c:pt>
                      <c:pt idx="23">
                        <c:v>13</c:v>
                      </c:pt>
                      <c:pt idx="24">
                        <c:v>13</c:v>
                      </c:pt>
                      <c:pt idx="25">
                        <c:v>13</c:v>
                      </c:pt>
                      <c:pt idx="26">
                        <c:v>13</c:v>
                      </c:pt>
                      <c:pt idx="27">
                        <c:v>13</c:v>
                      </c:pt>
                      <c:pt idx="28">
                        <c:v>16</c:v>
                      </c:pt>
                      <c:pt idx="29">
                        <c:v>16</c:v>
                      </c:pt>
                      <c:pt idx="30">
                        <c:v>16</c:v>
                      </c:pt>
                      <c:pt idx="31">
                        <c:v>16</c:v>
                      </c:pt>
                      <c:pt idx="32">
                        <c:v>15</c:v>
                      </c:pt>
                      <c:pt idx="33">
                        <c:v>15</c:v>
                      </c:pt>
                      <c:pt idx="34">
                        <c:v>15</c:v>
                      </c:pt>
                      <c:pt idx="35">
                        <c:v>16</c:v>
                      </c:pt>
                      <c:pt idx="36">
                        <c:v>16</c:v>
                      </c:pt>
                      <c:pt idx="37">
                        <c:v>16</c:v>
                      </c:pt>
                      <c:pt idx="38">
                        <c:v>16</c:v>
                      </c:pt>
                      <c:pt idx="39">
                        <c:v>16</c:v>
                      </c:pt>
                      <c:pt idx="40">
                        <c:v>15</c:v>
                      </c:pt>
                      <c:pt idx="41">
                        <c:v>15</c:v>
                      </c:pt>
                      <c:pt idx="42">
                        <c:v>15</c:v>
                      </c:pt>
                      <c:pt idx="43">
                        <c:v>15</c:v>
                      </c:pt>
                      <c:pt idx="44">
                        <c:v>14</c:v>
                      </c:pt>
                      <c:pt idx="45">
                        <c:v>14</c:v>
                      </c:pt>
                      <c:pt idx="46">
                        <c:v>14</c:v>
                      </c:pt>
                      <c:pt idx="47">
                        <c:v>14</c:v>
                      </c:pt>
                      <c:pt idx="48">
                        <c:v>14</c:v>
                      </c:pt>
                      <c:pt idx="49">
                        <c:v>14</c:v>
                      </c:pt>
                      <c:pt idx="50">
                        <c:v>13</c:v>
                      </c:pt>
                      <c:pt idx="51">
                        <c:v>12</c:v>
                      </c:pt>
                      <c:pt idx="52">
                        <c:v>12</c:v>
                      </c:pt>
                      <c:pt idx="53">
                        <c:v>7</c:v>
                      </c:pt>
                      <c:pt idx="54">
                        <c:v>7</c:v>
                      </c:pt>
                      <c:pt idx="55">
                        <c:v>7</c:v>
                      </c:pt>
                      <c:pt idx="56">
                        <c:v>7</c:v>
                      </c:pt>
                      <c:pt idx="57">
                        <c:v>7</c:v>
                      </c:pt>
                      <c:pt idx="58">
                        <c:v>7</c:v>
                      </c:pt>
                      <c:pt idx="59">
                        <c:v>7</c:v>
                      </c:pt>
                      <c:pt idx="60">
                        <c:v>8</c:v>
                      </c:pt>
                      <c:pt idx="61">
                        <c:v>7</c:v>
                      </c:pt>
                      <c:pt idx="62">
                        <c:v>7</c:v>
                      </c:pt>
                      <c:pt idx="63">
                        <c:v>7</c:v>
                      </c:pt>
                      <c:pt idx="64">
                        <c:v>7</c:v>
                      </c:pt>
                    </c:numCache>
                  </c:numRef>
                </c:val>
                <c:smooth val="0"/>
                <c:extLst>
                  <c:ext xmlns:c16="http://schemas.microsoft.com/office/drawing/2014/chart" uri="{C3380CC4-5D6E-409C-BE32-E72D297353CC}">
                    <c16:uniqueId val="{00000001-15FE-40EE-A388-63D36D499FD3}"/>
                  </c:ext>
                </c:extLst>
              </c15:ser>
            </c15:filteredLineSeries>
          </c:ext>
        </c:extLst>
      </c:lineChart>
      <c:catAx>
        <c:axId val="19083872"/>
        <c:scaling>
          <c:orientation val="minMax"/>
        </c:scaling>
        <c:delete val="0"/>
        <c:axPos val="b"/>
        <c:numFmt formatCode="General" sourceLinked="1"/>
        <c:majorTickMark val="out"/>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19086192"/>
        <c:crosses val="autoZero"/>
        <c:auto val="1"/>
        <c:lblAlgn val="ctr"/>
        <c:lblOffset val="100"/>
        <c:tickLblSkip val="4"/>
        <c:noMultiLvlLbl val="0"/>
      </c:catAx>
      <c:valAx>
        <c:axId val="19086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19083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0.08672</cdr:x>
      <cdr:y>0.17885</cdr:y>
    </cdr:from>
    <cdr:to>
      <cdr:x>0.22841</cdr:x>
      <cdr:y>0.22739</cdr:y>
    </cdr:to>
    <cdr:sp macro="" textlink="">
      <cdr:nvSpPr>
        <cdr:cNvPr id="6" name="TextBox 5"/>
        <cdr:cNvSpPr txBox="1"/>
      </cdr:nvSpPr>
      <cdr:spPr>
        <a:xfrm xmlns:a="http://schemas.openxmlformats.org/drawingml/2006/main">
          <a:off x="559593" y="833437"/>
          <a:ext cx="914400" cy="2262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dirty="0"/>
        </a:p>
      </cdr:txBody>
    </cdr:sp>
  </cdr:relSizeAnchor>
  <cdr:relSizeAnchor xmlns:cdr="http://schemas.openxmlformats.org/drawingml/2006/chartDrawing">
    <cdr:from>
      <cdr:x>0.4059</cdr:x>
      <cdr:y>0.17885</cdr:y>
    </cdr:from>
    <cdr:to>
      <cdr:x>0.5476</cdr:x>
      <cdr:y>0.24016</cdr:y>
    </cdr:to>
    <cdr:sp macro="" textlink="">
      <cdr:nvSpPr>
        <cdr:cNvPr id="9" name="TextBox 8"/>
        <cdr:cNvSpPr txBox="1"/>
      </cdr:nvSpPr>
      <cdr:spPr>
        <a:xfrm xmlns:a="http://schemas.openxmlformats.org/drawingml/2006/main">
          <a:off x="2619374" y="833437"/>
          <a:ext cx="9144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dirty="0"/>
        </a:p>
      </cdr:txBody>
    </cdr:sp>
  </cdr:relSizeAnchor>
  <cdr:relSizeAnchor xmlns:cdr="http://schemas.openxmlformats.org/drawingml/2006/chartDrawing">
    <cdr:from>
      <cdr:x>0.74723</cdr:x>
      <cdr:y>0.19162</cdr:y>
    </cdr:from>
    <cdr:to>
      <cdr:x>0.88893</cdr:x>
      <cdr:y>0.25038</cdr:y>
    </cdr:to>
    <cdr:sp macro="" textlink="">
      <cdr:nvSpPr>
        <cdr:cNvPr id="12" name="TextBox 11"/>
        <cdr:cNvSpPr txBox="1"/>
      </cdr:nvSpPr>
      <cdr:spPr>
        <a:xfrm xmlns:a="http://schemas.openxmlformats.org/drawingml/2006/main">
          <a:off x="4822030" y="892969"/>
          <a:ext cx="914400" cy="2738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dirty="0"/>
        </a:p>
      </cdr:txBody>
    </cdr:sp>
  </cdr:relSizeAnchor>
  <cdr:relSizeAnchor xmlns:cdr="http://schemas.openxmlformats.org/drawingml/2006/chartDrawing">
    <cdr:from>
      <cdr:x>0.53544</cdr:x>
      <cdr:y>0.19578</cdr:y>
    </cdr:from>
    <cdr:to>
      <cdr:x>0.60949</cdr:x>
      <cdr:y>0.23966</cdr:y>
    </cdr:to>
    <cdr:sp macro="" textlink="">
      <cdr:nvSpPr>
        <cdr:cNvPr id="15" name="TextBox 14"/>
        <cdr:cNvSpPr txBox="1"/>
      </cdr:nvSpPr>
      <cdr:spPr>
        <a:xfrm xmlns:a="http://schemas.openxmlformats.org/drawingml/2006/main">
          <a:off x="6528121" y="1342663"/>
          <a:ext cx="902825" cy="3009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dirty="0"/>
        </a:p>
      </cdr:txBody>
    </cdr:sp>
  </cdr:relSizeAnchor>
</c:userShapes>
</file>

<file path=word/drawings/drawing2.xml><?xml version="1.0" encoding="utf-8"?>
<c:userShapes xmlns:c="http://schemas.openxmlformats.org/drawingml/2006/chart">
  <cdr:relSizeAnchor xmlns:cdr="http://schemas.openxmlformats.org/drawingml/2006/chartDrawing">
    <cdr:from>
      <cdr:x>0.10538</cdr:x>
      <cdr:y>0.14852</cdr:y>
    </cdr:from>
    <cdr:to>
      <cdr:x>0.10538</cdr:x>
      <cdr:y>0.87244</cdr:y>
    </cdr:to>
    <cdr:cxnSp macro="">
      <cdr:nvCxnSpPr>
        <cdr:cNvPr id="3" name="Straight Connector 2"/>
        <cdr:cNvCxnSpPr/>
      </cdr:nvCxnSpPr>
      <cdr:spPr>
        <a:xfrm xmlns:a="http://schemas.openxmlformats.org/drawingml/2006/main" flipV="1">
          <a:off x="626337" y="496544"/>
          <a:ext cx="1" cy="2420276"/>
        </a:xfrm>
        <a:prstGeom xmlns:a="http://schemas.openxmlformats.org/drawingml/2006/main" prst="line">
          <a:avLst/>
        </a:prstGeom>
        <a:ln xmlns:a="http://schemas.openxmlformats.org/drawingml/2006/main">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0.4443</cdr:x>
      <cdr:y>0.14852</cdr:y>
    </cdr:from>
    <cdr:to>
      <cdr:x>0.4443</cdr:x>
      <cdr:y>0.87331</cdr:y>
    </cdr:to>
    <cdr:cxnSp macro="">
      <cdr:nvCxnSpPr>
        <cdr:cNvPr id="8" name="Straight Connector 7"/>
        <cdr:cNvCxnSpPr/>
      </cdr:nvCxnSpPr>
      <cdr:spPr>
        <a:xfrm xmlns:a="http://schemas.openxmlformats.org/drawingml/2006/main" flipV="1">
          <a:off x="2640741" y="496544"/>
          <a:ext cx="0" cy="2423160"/>
        </a:xfrm>
        <a:prstGeom xmlns:a="http://schemas.openxmlformats.org/drawingml/2006/main" prst="line">
          <a:avLst/>
        </a:prstGeom>
        <a:ln xmlns:a="http://schemas.openxmlformats.org/drawingml/2006/main">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0.79652</cdr:x>
      <cdr:y>0.14684</cdr:y>
    </cdr:from>
    <cdr:to>
      <cdr:x>0.79747</cdr:x>
      <cdr:y>0.87163</cdr:y>
    </cdr:to>
    <cdr:cxnSp macro="">
      <cdr:nvCxnSpPr>
        <cdr:cNvPr id="11" name="Straight Connector 10"/>
        <cdr:cNvCxnSpPr/>
      </cdr:nvCxnSpPr>
      <cdr:spPr>
        <a:xfrm xmlns:a="http://schemas.openxmlformats.org/drawingml/2006/main" flipV="1">
          <a:off x="4734196" y="490928"/>
          <a:ext cx="5647" cy="2423160"/>
        </a:xfrm>
        <a:prstGeom xmlns:a="http://schemas.openxmlformats.org/drawingml/2006/main" prst="line">
          <a:avLst/>
        </a:prstGeom>
        <a:ln xmlns:a="http://schemas.openxmlformats.org/drawingml/2006/main">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0.58766</cdr:x>
      <cdr:y>0.14684</cdr:y>
    </cdr:from>
    <cdr:to>
      <cdr:x>0.58956</cdr:x>
      <cdr:y>0.87163</cdr:y>
    </cdr:to>
    <cdr:cxnSp macro="">
      <cdr:nvCxnSpPr>
        <cdr:cNvPr id="14" name="Straight Connector 13"/>
        <cdr:cNvCxnSpPr/>
      </cdr:nvCxnSpPr>
      <cdr:spPr>
        <a:xfrm xmlns:a="http://schemas.openxmlformats.org/drawingml/2006/main" flipH="1" flipV="1">
          <a:off x="3492817" y="490928"/>
          <a:ext cx="11292" cy="2423160"/>
        </a:xfrm>
        <a:prstGeom xmlns:a="http://schemas.openxmlformats.org/drawingml/2006/main" prst="line">
          <a:avLst/>
        </a:prstGeom>
        <a:ln xmlns:a="http://schemas.openxmlformats.org/drawingml/2006/main">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0.10034</cdr:x>
      <cdr:y>0.19076</cdr:y>
    </cdr:from>
    <cdr:to>
      <cdr:x>0.24203</cdr:x>
      <cdr:y>0.24695</cdr:y>
    </cdr:to>
    <cdr:sp macro="" textlink="">
      <cdr:nvSpPr>
        <cdr:cNvPr id="6" name="TextBox 5"/>
        <cdr:cNvSpPr txBox="1"/>
      </cdr:nvSpPr>
      <cdr:spPr>
        <a:xfrm xmlns:a="http://schemas.openxmlformats.org/drawingml/2006/main">
          <a:off x="596392" y="637777"/>
          <a:ext cx="842149" cy="18785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latin typeface="Times New Roman" charset="0"/>
              <a:ea typeface="Times New Roman" charset="0"/>
              <a:cs typeface="Times New Roman" charset="0"/>
            </a:rPr>
            <a:t>Nasser</a:t>
          </a:r>
        </a:p>
      </cdr:txBody>
    </cdr:sp>
  </cdr:relSizeAnchor>
  <cdr:relSizeAnchor xmlns:cdr="http://schemas.openxmlformats.org/drawingml/2006/chartDrawing">
    <cdr:from>
      <cdr:x>0.43571</cdr:x>
      <cdr:y>0.18741</cdr:y>
    </cdr:from>
    <cdr:to>
      <cdr:x>0.57741</cdr:x>
      <cdr:y>0.24872</cdr:y>
    </cdr:to>
    <cdr:sp macro="" textlink="">
      <cdr:nvSpPr>
        <cdr:cNvPr id="9" name="TextBox 8"/>
        <cdr:cNvSpPr txBox="1"/>
      </cdr:nvSpPr>
      <cdr:spPr>
        <a:xfrm xmlns:a="http://schemas.openxmlformats.org/drawingml/2006/main">
          <a:off x="2589701" y="626570"/>
          <a:ext cx="842208" cy="2049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latin typeface="Times New Roman" charset="0"/>
              <a:ea typeface="Times New Roman" charset="0"/>
              <a:cs typeface="Times New Roman" charset="0"/>
            </a:rPr>
            <a:t>Khomeini</a:t>
          </a:r>
        </a:p>
      </cdr:txBody>
    </cdr:sp>
  </cdr:relSizeAnchor>
  <cdr:relSizeAnchor xmlns:cdr="http://schemas.openxmlformats.org/drawingml/2006/chartDrawing">
    <cdr:from>
      <cdr:x>0.78729</cdr:x>
      <cdr:y>0.18918</cdr:y>
    </cdr:from>
    <cdr:to>
      <cdr:x>0.92899</cdr:x>
      <cdr:y>0.24794</cdr:y>
    </cdr:to>
    <cdr:sp macro="" textlink="">
      <cdr:nvSpPr>
        <cdr:cNvPr id="12" name="TextBox 11"/>
        <cdr:cNvSpPr txBox="1"/>
      </cdr:nvSpPr>
      <cdr:spPr>
        <a:xfrm xmlns:a="http://schemas.openxmlformats.org/drawingml/2006/main">
          <a:off x="4679361" y="632481"/>
          <a:ext cx="842208" cy="1964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latin typeface="Times New Roman" charset="0"/>
              <a:ea typeface="Times New Roman" charset="0"/>
              <a:cs typeface="Times New Roman" charset="0"/>
            </a:rPr>
            <a:t>Invasion of</a:t>
          </a:r>
          <a:r>
            <a:rPr lang="en-US" sz="1100" baseline="0">
              <a:latin typeface="Times New Roman" charset="0"/>
              <a:ea typeface="Times New Roman" charset="0"/>
              <a:cs typeface="Times New Roman" charset="0"/>
            </a:rPr>
            <a:t> Iraq</a:t>
          </a:r>
          <a:endParaRPr lang="en-US" sz="1100">
            <a:latin typeface="Times New Roman" charset="0"/>
            <a:ea typeface="Times New Roman" charset="0"/>
            <a:cs typeface="Times New Roman" charset="0"/>
          </a:endParaRPr>
        </a:p>
      </cdr:txBody>
    </cdr:sp>
  </cdr:relSizeAnchor>
  <cdr:relSizeAnchor xmlns:cdr="http://schemas.openxmlformats.org/drawingml/2006/chartDrawing">
    <cdr:from>
      <cdr:x>0.58257</cdr:x>
      <cdr:y>0.19151</cdr:y>
    </cdr:from>
    <cdr:to>
      <cdr:x>0.65662</cdr:x>
      <cdr:y>0.26211</cdr:y>
    </cdr:to>
    <cdr:sp macro="" textlink="">
      <cdr:nvSpPr>
        <cdr:cNvPr id="15" name="TextBox 14"/>
        <cdr:cNvSpPr txBox="1"/>
      </cdr:nvSpPr>
      <cdr:spPr>
        <a:xfrm xmlns:a="http://schemas.openxmlformats.org/drawingml/2006/main">
          <a:off x="3462582" y="640259"/>
          <a:ext cx="440124" cy="23603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dirty="0">
              <a:latin typeface="Times New Roman" charset="0"/>
              <a:ea typeface="Times New Roman" charset="0"/>
              <a:cs typeface="Times New Roman" charset="0"/>
            </a:rPr>
            <a:t>Cold War Ends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5CEED-2F3C-4BDC-AD3F-70799CEA7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8296</Words>
  <Characters>47288</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Volgy</dc:creator>
  <cp:keywords/>
  <dc:description/>
  <cp:lastModifiedBy>Volgy, Thomas J - (volgy)</cp:lastModifiedBy>
  <cp:revision>3</cp:revision>
  <cp:lastPrinted>2018-01-12T10:06:00Z</cp:lastPrinted>
  <dcterms:created xsi:type="dcterms:W3CDTF">2018-01-17T22:28:00Z</dcterms:created>
  <dcterms:modified xsi:type="dcterms:W3CDTF">2018-01-17T22:28:00Z</dcterms:modified>
</cp:coreProperties>
</file>